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215067ds8.htm"/>
      <w:bookmarkStart w:id="1" w:name="ksd215067ds8"/>
      <w:bookmarkEnd w:id="0"/>
      <w:bookmarkEnd w:id="1"/>
      <w:r>
        <w:rPr>
          <w:rFonts w:ascii="Times New Roman" w:hAnsi="Times New Roman"/>
          <w:b/>
          <w:sz w:val="20"/>
        </w:rPr>
        <w:t xml:space="preserve">As filed with the Securities and Exchange Commission on October 1,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Michigan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95-4318554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12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28875 Cabot Drive,</w:t>
            </w:r>
          </w:p>
          <w:p>
            <w:pPr>
              <w:pStyle w:val="TableContents"/>
              <w:bidi w:val="0"/>
              <w:spacing w:before="0" w:after="20"/>
              <w:jc w:val="center"/>
              <w:rPr>
                <w:rFonts w:ascii="Times New Roman" w:hAnsi="Times New Roman"/>
                <w:b/>
                <w:sz w:val="20"/>
              </w:rPr>
            </w:pPr>
            <w:r>
              <w:rPr>
                <w:rFonts w:ascii="Times New Roman" w:hAnsi="Times New Roman"/>
                <w:b/>
                <w:sz w:val="20"/>
              </w:rPr>
              <w:t>Novi, MI</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48377</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2023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William Presley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28875 Cabot Drive </w:t>
      </w:r>
    </w:p>
    <w:p>
      <w:pPr>
        <w:pStyle w:val="TextBody"/>
        <w:bidi w:val="0"/>
        <w:spacing w:before="0" w:after="0"/>
        <w:jc w:val="center"/>
        <w:rPr>
          <w:rFonts w:ascii="Times New Roman" w:hAnsi="Times New Roman"/>
          <w:b/>
          <w:sz w:val="20"/>
        </w:rPr>
      </w:pPr>
      <w:r>
        <w:rPr>
          <w:rFonts w:ascii="Times New Roman" w:hAnsi="Times New Roman"/>
          <w:b/>
          <w:sz w:val="20"/>
        </w:rPr>
        <w:t xml:space="preserve">Novi, MI 48377 </w:t>
      </w:r>
    </w:p>
    <w:p>
      <w:pPr>
        <w:pStyle w:val="TextBody"/>
        <w:bidi w:val="0"/>
        <w:spacing w:before="0" w:after="0"/>
        <w:jc w:val="center"/>
        <w:rPr>
          <w:rFonts w:ascii="Times New Roman" w:hAnsi="Times New Roman"/>
          <w:b/>
          <w:sz w:val="20"/>
        </w:rPr>
      </w:pPr>
      <w:r>
        <w:rPr>
          <w:rFonts w:ascii="Times New Roman" w:hAnsi="Times New Roman"/>
          <w:b/>
          <w:sz w:val="20"/>
        </w:rPr>
        <w:t xml:space="preserve">(248) 504-0500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center"/>
              <w:rPr>
                <w:b/>
                <w:i/>
              </w:rPr>
            </w:pPr>
            <w:r>
              <w:rPr>
                <w:b/>
                <w:i/>
              </w:rPr>
              <w:t>Copies to:</w:t>
            </w:r>
          </w:p>
        </w:tc>
      </w:tr>
    </w:tbl>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Wayne Kauffman, Esq.</w:t>
            </w:r>
          </w:p>
          <w:p>
            <w:pPr>
              <w:pStyle w:val="TableContents"/>
              <w:bidi w:val="0"/>
              <w:spacing w:before="0" w:after="0"/>
              <w:jc w:val="center"/>
              <w:rPr>
                <w:rFonts w:ascii="Times New Roman" w:hAnsi="Times New Roman"/>
                <w:b/>
                <w:sz w:val="20"/>
              </w:rPr>
            </w:pPr>
            <w:r>
              <w:rPr>
                <w:rFonts w:ascii="Times New Roman" w:hAnsi="Times New Roman"/>
                <w:b/>
                <w:sz w:val="20"/>
              </w:rPr>
              <w:t>Senior Vice President, General Counsel and Secretary</w:t>
            </w:r>
          </w:p>
          <w:p>
            <w:pPr>
              <w:pStyle w:val="TableContents"/>
              <w:bidi w:val="0"/>
              <w:spacing w:before="0" w:after="0"/>
              <w:jc w:val="center"/>
              <w:rPr>
                <w:rFonts w:ascii="Times New Roman" w:hAnsi="Times New Roman"/>
                <w:b/>
                <w:sz w:val="20"/>
              </w:rPr>
            </w:pPr>
            <w:r>
              <w:rPr>
                <w:rFonts w:ascii="Times New Roman" w:hAnsi="Times New Roman"/>
                <w:b/>
                <w:sz w:val="20"/>
              </w:rPr>
              <w:t>Gentherm Incorporated</w:t>
            </w:r>
          </w:p>
          <w:p>
            <w:pPr>
              <w:pStyle w:val="TableContents"/>
              <w:bidi w:val="0"/>
              <w:spacing w:before="0" w:after="0"/>
              <w:jc w:val="center"/>
              <w:rPr>
                <w:rFonts w:ascii="Times New Roman" w:hAnsi="Times New Roman"/>
                <w:b/>
                <w:sz w:val="20"/>
              </w:rPr>
            </w:pPr>
            <w:r>
              <w:rPr>
                <w:rFonts w:ascii="Times New Roman" w:hAnsi="Times New Roman"/>
                <w:b/>
                <w:sz w:val="20"/>
              </w:rPr>
              <w:t>28875 Cabot Drive</w:t>
            </w:r>
          </w:p>
          <w:p>
            <w:pPr>
              <w:pStyle w:val="TableContents"/>
              <w:bidi w:val="0"/>
              <w:spacing w:before="0" w:after="0"/>
              <w:jc w:val="center"/>
              <w:rPr>
                <w:rFonts w:ascii="Times New Roman" w:hAnsi="Times New Roman"/>
                <w:b/>
                <w:sz w:val="20"/>
              </w:rPr>
            </w:pPr>
            <w:r>
              <w:rPr>
                <w:rFonts w:ascii="Times New Roman" w:hAnsi="Times New Roman"/>
                <w:b/>
                <w:sz w:val="20"/>
              </w:rPr>
              <w:t>Novi, MI 48377</w:t>
            </w:r>
          </w:p>
          <w:p>
            <w:pPr>
              <w:pStyle w:val="TableContents"/>
              <w:bidi w:val="0"/>
              <w:spacing w:before="0" w:after="20"/>
              <w:jc w:val="center"/>
              <w:rPr>
                <w:rFonts w:ascii="Times New Roman" w:hAnsi="Times New Roman"/>
                <w:b/>
                <w:sz w:val="20"/>
              </w:rPr>
            </w:pPr>
            <w:r>
              <w:rPr>
                <w:rFonts w:ascii="Times New Roman" w:hAnsi="Times New Roman"/>
                <w:b/>
                <w:sz w:val="20"/>
              </w:rPr>
              <w:t>(248) 504-0500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Michael S. Ben, Esq.</w:t>
            </w:r>
          </w:p>
          <w:p>
            <w:pPr>
              <w:pStyle w:val="TableContents"/>
              <w:bidi w:val="0"/>
              <w:spacing w:before="0" w:after="0"/>
              <w:jc w:val="center"/>
              <w:rPr>
                <w:rFonts w:ascii="Times New Roman" w:hAnsi="Times New Roman"/>
                <w:b/>
                <w:sz w:val="20"/>
              </w:rPr>
            </w:pPr>
            <w:r>
              <w:rPr>
                <w:rFonts w:ascii="Times New Roman" w:hAnsi="Times New Roman"/>
                <w:b/>
                <w:sz w:val="20"/>
              </w:rPr>
              <w:t>Honigman LLP</w:t>
            </w:r>
          </w:p>
          <w:p>
            <w:pPr>
              <w:pStyle w:val="TableContents"/>
              <w:bidi w:val="0"/>
              <w:spacing w:before="0" w:after="0"/>
              <w:jc w:val="center"/>
              <w:rPr>
                <w:rFonts w:ascii="Times New Roman" w:hAnsi="Times New Roman"/>
                <w:b/>
                <w:sz w:val="20"/>
              </w:rPr>
            </w:pPr>
            <w:r>
              <w:rPr>
                <w:rFonts w:ascii="Times New Roman" w:hAnsi="Times New Roman"/>
                <w:b/>
                <w:sz w:val="20"/>
              </w:rPr>
              <w:t>2290 First National Building</w:t>
            </w:r>
          </w:p>
          <w:p>
            <w:pPr>
              <w:pStyle w:val="TableContents"/>
              <w:bidi w:val="0"/>
              <w:spacing w:before="0" w:after="0"/>
              <w:jc w:val="center"/>
              <w:rPr>
                <w:rFonts w:ascii="Times New Roman" w:hAnsi="Times New Roman"/>
                <w:b/>
                <w:sz w:val="20"/>
              </w:rPr>
            </w:pPr>
            <w:r>
              <w:rPr>
                <w:rFonts w:ascii="Times New Roman" w:hAnsi="Times New Roman"/>
                <w:b/>
                <w:sz w:val="20"/>
              </w:rPr>
              <w:t>660 Woodward Ave.</w:t>
            </w:r>
          </w:p>
          <w:p>
            <w:pPr>
              <w:pStyle w:val="TableContents"/>
              <w:bidi w:val="0"/>
              <w:spacing w:before="0" w:after="0"/>
              <w:jc w:val="center"/>
              <w:rPr>
                <w:rFonts w:ascii="Times New Roman" w:hAnsi="Times New Roman"/>
                <w:b/>
                <w:sz w:val="20"/>
              </w:rPr>
            </w:pPr>
            <w:r>
              <w:rPr>
                <w:rFonts w:ascii="Times New Roman" w:hAnsi="Times New Roman"/>
                <w:b/>
                <w:sz w:val="20"/>
              </w:rPr>
              <w:t>Detroit, Michigan 48226-3506</w:t>
            </w:r>
          </w:p>
          <w:p>
            <w:pPr>
              <w:pStyle w:val="TableContents"/>
              <w:bidi w:val="0"/>
              <w:spacing w:before="0" w:after="20"/>
              <w:jc w:val="center"/>
              <w:rPr>
                <w:rFonts w:ascii="Times New Roman" w:hAnsi="Times New Roman"/>
                <w:b/>
                <w:sz w:val="20"/>
              </w:rPr>
            </w:pPr>
            <w:r>
              <w:rPr>
                <w:rFonts w:ascii="Times New Roman" w:hAnsi="Times New Roman"/>
                <w:b/>
                <w:sz w:val="20"/>
              </w:rPr>
              <w:t>(313) 465-7000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Incorporated (“Gentherm” or the “Registrant”) entered into an Agreement and Plan of Merger (the “Merger Agreement”) by and among Gentherm, Modine Manufacturing Company, a Wisconsin corporation (“Modine”), Platinum SpinCo Inc., a Delaware corporation and a wholly owned subsidiary of Modine (“SpinCo”), and Platinum Gold Merger Sub Inc., a Delaware corporation and a wholly owned subsidiary of Gentherm (“Merger Sub”). Pursuant to the Merger Agreement and the Separation Agreement, dated as of January 29, 2026, by and among Modine, Gentherm and SpinCo (the “Separation Agreement”), and upon the terms and subject to the conditions therein, (1) Modine and certain of its subsidiaries transferred to SpinCo and certain of its subsidiaries, and SpinCo and such subsidiaries accepted and assumed, all of the right, title and interest of Modine and such subsidiaries in, to and under certain assets and liabilities relating to Modine’s Performance Technologies business (the “SpinCo Business”) such that the SpinCo Business was separated from the remainder of Modine’s businesses (the “Separation”), (2) following the Separation, Modine distributed, on a pro rata basis, all of the shares of SpinCo common stock to holders of Modine common stock (the “Distribution”) and (3) following the Distribution, on October 1, 2026 (the “Closing”), Merger Sub merged with and into SpinCo, with SpinCo as the surviving entity and as a wholly owned subsidiary of Gentherm, and each outstanding share of SpinCo common stock (subject to limited exceptions) was converted into the right to receive shares of Gentherm common stock (collectively, the “Transactions”). Pursuant to the Employee Matters Agreement, dated as of October 1, 2026, by and among Modine, SpinCo and Gentherm (the “Employee Matters Agreement”), at the Closing, the outstanding stock options, restricted stock units and performance share awards of Modine held by employees designated as SpinCo employees under the Employee Matters Agreement were converted into stock options and time-vested restricted stock units, as applicable, of Gentherm under the Gentherm 2023 Equity Incentive Plan (the “2023 Plan”) based upon the equity award exchange ratio set forth in the Employee Matters Agreement (the “Replacement Awards”). This Registration Statement on Form S-8 is being filed by Gentherm in connection with the registration of 176,473 shares of Gentherm’s common stock, no par value (the “Common Stock”), pursuant to the issuance of the Replacement Awards under the 2023 Plan. The Common Stock being registered hereunder is in addition to the 3,730,000 shares of Common Stock registered on the Registrant’s Registration Statement on Form S-8 filed with the Securities and Exchange Commission (the “Commission”) on May 18, 2023 (Commission File No. 333-272056) and the 1,700,000 shares of Common Stock registered on the Registrant’s Registration Statement on Form S-8 filed with the Commission on June 2, 2026 (Commission File No. 333-296433) (together, the “Prior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relates to securities of the same class as that to which the Prior Registration Statements relate, and is submitted in accordance with General Instruction E to Form S-8 regarding the registration of additional securities. Pursuant to such instruction, the contents of the Prior Registration Statements are incorporated herein by reference and made part of this Registration Statement, except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plan covered by this Registration Statement as specified by Rule 428(b)(1) under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General Instruction E to Form S-8, the content of the Prior Registration Statements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Commission by the Registrant also are hereby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w:t>
            </w:r>
            <w:hyperlink r:id="rId2">
              <w:r>
                <w:rPr>
                  <w:rStyle w:val="InternetLink"/>
                  <w:rFonts w:ascii="Times New Roman" w:hAnsi="Times New Roman"/>
                  <w:sz w:val="20"/>
                </w:rPr>
                <w:t>Annual Report on Form 10-K for the year ended December 31, 2025</w:t>
              </w:r>
            </w:hyperlink>
            <w:r>
              <w:rPr>
                <w:rFonts w:ascii="Times New Roman" w:hAnsi="Times New Roman"/>
                <w:sz w:val="20"/>
              </w:rPr>
              <w:t xml:space="preserve">, filed with the Commission on February 19, 2026 (including information specifically incorporated by reference therein from the Registrant’s </w:t>
            </w:r>
            <w:hyperlink r:id="rId3">
              <w:r>
                <w:rPr>
                  <w:rStyle w:val="InternetLink"/>
                  <w:rFonts w:ascii="Times New Roman" w:hAnsi="Times New Roman"/>
                  <w:sz w:val="20"/>
                </w:rPr>
                <w:t>Proxy Statement</w:t>
              </w:r>
            </w:hyperlink>
            <w:r>
              <w:rPr>
                <w:rFonts w:ascii="Times New Roman" w:hAnsi="Times New Roman"/>
                <w:sz w:val="20"/>
              </w:rPr>
              <w:t xml:space="preserve"> filed with the Commission on April 1, 2026);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2026 and June 30, 2026, filed with the Commission on </w:t>
            </w:r>
            <w:hyperlink r:id="rId4">
              <w:r>
                <w:rPr>
                  <w:rStyle w:val="InternetLink"/>
                  <w:rFonts w:ascii="Times New Roman" w:hAnsi="Times New Roman"/>
                  <w:sz w:val="20"/>
                </w:rPr>
                <w:t>April  23, 2026</w:t>
              </w:r>
            </w:hyperlink>
            <w:r>
              <w:rPr>
                <w:rFonts w:ascii="Times New Roman" w:hAnsi="Times New Roman"/>
                <w:sz w:val="20"/>
              </w:rPr>
              <w:t xml:space="preserve"> and </w:t>
            </w:r>
            <w:hyperlink r:id="rId5">
              <w:r>
                <w:rPr>
                  <w:rStyle w:val="InternetLink"/>
                  <w:rFonts w:ascii="Times New Roman" w:hAnsi="Times New Roman"/>
                  <w:sz w:val="20"/>
                </w:rPr>
                <w:t>July 23, 2026</w:t>
              </w:r>
            </w:hyperlink>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pPr>
            <w:r>
              <w:rPr>
                <w:rFonts w:ascii="Times New Roman" w:hAnsi="Times New Roman"/>
                <w:sz w:val="20"/>
              </w:rPr>
              <w:t xml:space="preserve">the Registrant’s Current Reports on Form 8-K or 8-K/A filed with the SEC on </w:t>
            </w:r>
            <w:hyperlink r:id="rId6">
              <w:r>
                <w:rPr>
                  <w:rStyle w:val="InternetLink"/>
                  <w:rFonts w:ascii="Times New Roman" w:hAnsi="Times New Roman"/>
                  <w:sz w:val="20"/>
                </w:rPr>
                <w:t>January  29,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(together with the Current Report on Form 8-K/A filed with the Commission on </w:t>
            </w:r>
            <w:hyperlink r:id="rId8">
              <w:r>
                <w:rPr>
                  <w:rStyle w:val="InternetLink"/>
                  <w:rFonts w:ascii="Times New Roman" w:hAnsi="Times New Roman"/>
                  <w:sz w:val="20"/>
                </w:rPr>
                <w:t>April  23, 2026</w:t>
              </w:r>
            </w:hyperlink>
            <w:r>
              <w:rPr>
                <w:rFonts w:ascii="Times New Roman" w:hAnsi="Times New Roman"/>
                <w:sz w:val="20"/>
              </w:rPr>
              <w:t xml:space="preserve">), </w:t>
            </w:r>
            <w:hyperlink r:id="rId9">
              <w:r>
                <w:rPr>
                  <w:rStyle w:val="InternetLink"/>
                  <w:rFonts w:ascii="Times New Roman" w:hAnsi="Times New Roman"/>
                  <w:sz w:val="20"/>
                </w:rPr>
                <w:t>March  17, 2026</w:t>
              </w:r>
            </w:hyperlink>
            <w:r>
              <w:rPr>
                <w:rFonts w:ascii="Times New Roman" w:hAnsi="Times New Roman"/>
                <w:sz w:val="20"/>
              </w:rPr>
              <w:t xml:space="preserve">, </w:t>
            </w:r>
            <w:hyperlink r:id="rId10">
              <w:r>
                <w:rPr>
                  <w:rStyle w:val="InternetLink"/>
                  <w:rFonts w:ascii="Times New Roman" w:hAnsi="Times New Roman"/>
                  <w:sz w:val="20"/>
                </w:rPr>
                <w:t>March  25, 2026</w:t>
              </w:r>
            </w:hyperlink>
            <w:r>
              <w:rPr>
                <w:rFonts w:ascii="Times New Roman" w:hAnsi="Times New Roman"/>
                <w:sz w:val="20"/>
              </w:rPr>
              <w:t xml:space="preserve">, </w:t>
            </w:r>
            <w:hyperlink r:id="rId11">
              <w:r>
                <w:rPr>
                  <w:rStyle w:val="InternetLink"/>
                  <w:rFonts w:ascii="Times New Roman" w:hAnsi="Times New Roman"/>
                  <w:sz w:val="20"/>
                </w:rPr>
                <w:t>May  19, 2026</w:t>
              </w:r>
            </w:hyperlink>
            <w:r>
              <w:rPr>
                <w:rFonts w:ascii="Times New Roman" w:hAnsi="Times New Roman"/>
                <w:sz w:val="20"/>
              </w:rPr>
              <w:t xml:space="preserve">, </w:t>
            </w:r>
            <w:hyperlink r:id="rId12">
              <w:r>
                <w:rPr>
                  <w:rStyle w:val="InternetLink"/>
                  <w:rFonts w:ascii="Times New Roman" w:hAnsi="Times New Roman"/>
                  <w:sz w:val="20"/>
                </w:rPr>
                <w:t>July  2, 2026</w:t>
              </w:r>
            </w:hyperlink>
            <w:r>
              <w:rPr>
                <w:rFonts w:ascii="Times New Roman" w:hAnsi="Times New Roman"/>
                <w:sz w:val="20"/>
              </w:rPr>
              <w:t xml:space="preserve">, </w:t>
            </w:r>
            <w:hyperlink r:id="rId13">
              <w:r>
                <w:rPr>
                  <w:rStyle w:val="InternetLink"/>
                  <w:rFonts w:ascii="Times New Roman" w:hAnsi="Times New Roman"/>
                  <w:sz w:val="20"/>
                </w:rPr>
                <w:t>July  23, 2026</w:t>
              </w:r>
            </w:hyperlink>
            <w:r>
              <w:rPr>
                <w:rFonts w:ascii="Times New Roman" w:hAnsi="Times New Roman"/>
                <w:sz w:val="20"/>
              </w:rPr>
              <w:t xml:space="preserve">, </w:t>
            </w:r>
            <w:hyperlink r:id="rId14">
              <w:r>
                <w:rPr>
                  <w:rStyle w:val="InternetLink"/>
                  <w:rFonts w:ascii="Times New Roman" w:hAnsi="Times New Roman"/>
                  <w:sz w:val="20"/>
                </w:rPr>
                <w:t>September  11, 2026</w:t>
              </w:r>
            </w:hyperlink>
            <w:r>
              <w:rPr>
                <w:rFonts w:ascii="Times New Roman" w:hAnsi="Times New Roman"/>
                <w:sz w:val="20"/>
              </w:rPr>
              <w:t xml:space="preserve"> and </w:t>
            </w:r>
            <w:hyperlink r:id="rId15">
              <w:r>
                <w:rPr>
                  <w:rStyle w:val="InternetLink"/>
                  <w:rFonts w:ascii="Times New Roman" w:hAnsi="Times New Roman"/>
                  <w:sz w:val="20"/>
                </w:rPr>
                <w:t>October 1, 2026</w:t>
              </w:r>
            </w:hyperlink>
            <w:r>
              <w:rPr>
                <w:rFonts w:ascii="Times New Roman" w:hAnsi="Times New Roman"/>
                <w:sz w:val="20"/>
              </w:rPr>
              <w:t xml:space="preserve">; and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under the caption “Description of Securities” on pages 37 through 38 of the Prospectus included in the Registrant’s registration statement on Form SB-2 (File No. 33-61702-LA) effective June 10, 1993, as filed with the Commission pursuant to the Securities Act and incorporated by reference into the Registrant’s initial registration statement on Form 8-A filed with the Commission pursuant to the Securities Exchange Act of 1934, as amended (the “Exchange Act”), as amended by the description of the Common Stock contained in </w:t>
            </w:r>
            <w:hyperlink r:id="rId16">
              <w:r>
                <w:rPr>
                  <w:rStyle w:val="InternetLink"/>
                  <w:rFonts w:ascii="Times New Roman" w:hAnsi="Times New Roman"/>
                  <w:sz w:val="20"/>
                  <w:u w:val="single"/>
                </w:rPr>
                <w:t>Exhibit 4</w:t>
              </w:r>
            </w:hyperlink>
            <w:r>
              <w:rPr>
                <w:rFonts w:ascii="Times New Roman" w:hAnsi="Times New Roman"/>
                <w:sz w:val="20"/>
              </w:rPr>
              <w:t xml:space="preserve"> to the Registrant’s Annual Report on Form 10-K for the year ended December 31, 2019, and as further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the Registrant subsequently files pursuant to Sections 13(a), 13(c), 14 or 15(d) of the Exchange Act after the filing of this Registration Statement, and prior to the filing of a post-effective amendment that indicates that all securities offered hereby have been sold or which deregisters all securities covered hereby then remaining unsold, are incorporated herein by reference and are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prior statement. Any such statement so modified or superseded shall not be deemed, except as so modified or superseded, to constitute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will any information under Items 2.02 or 7.01 of Current Report on Form 8-K be deemed incorporated herein by reference unless such Form 8-K expressly provides to the contrary. </w:t>
      </w:r>
    </w:p>
    <w:p>
      <w:pPr>
        <w:pStyle w:val="TextBody"/>
        <w:bidi w:val="0"/>
        <w:spacing w:before="24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
        <w:gridCol w:w="431"/>
        <w:gridCol w:w="9037"/>
      </w:tblGrid>
      <w:tr>
        <w:trPr/>
        <w:tc>
          <w:tcPr>
            <w:tcW w:w="73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037" w:type="dxa"/>
            <w:tcBorders/>
            <w:vAlign w:val="center"/>
          </w:tcPr>
          <w:p>
            <w:pPr>
              <w:pStyle w:val="TableContents"/>
              <w:bidi w:val="0"/>
              <w:spacing w:before="0" w:after="283"/>
              <w:jc w:val="left"/>
              <w:rPr>
                <w:sz w:val="4"/>
                <w:szCs w:val="4"/>
              </w:rPr>
            </w:pPr>
            <w:r>
              <w:rPr>
                <w:sz w:val="4"/>
                <w:szCs w:val="4"/>
              </w:rPr>
            </w:r>
          </w:p>
        </w:tc>
      </w:tr>
      <w:tr>
        <w:trPr/>
        <w:tc>
          <w:tcPr>
            <w:tcW w:w="737"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431" w:type="dxa"/>
            <w:tcBorders/>
            <w:vAlign w:val="bottom"/>
          </w:tcPr>
          <w:p>
            <w:pPr>
              <w:pStyle w:val="TableContents"/>
              <w:bidi w:val="0"/>
              <w:spacing w:before="0" w:after="283"/>
              <w:jc w:val="left"/>
              <w:rPr/>
            </w:pPr>
            <w:r>
              <w:rPr/>
              <w:t>  </w:t>
            </w:r>
          </w:p>
        </w:tc>
        <w:tc>
          <w:tcPr>
            <w:tcW w:w="9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4.1</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r:id="rId17">
              <w:r>
                <w:rPr>
                  <w:rStyle w:val="InternetLink"/>
                </w:rPr>
                <w:t>Second Amended and Restated Articles of Incorporation of Gentherm Incorporated</w:t>
              </w:r>
            </w:hyperlink>
            <w:r>
              <w:rPr/>
              <w:t>, incorporated herein by reference to Exhibit 3.2 to the Registrant’s Current Report on Form 8-K filed with the Commission on March 5, 2018</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4.2</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r:id="rId18">
              <w:r>
                <w:rPr>
                  <w:rStyle w:val="InternetLink"/>
                </w:rPr>
                <w:t>Certificate of Amendment to the Second Amended and Restated Articles of Incorporation of Gentherm Incorporated</w:t>
              </w:r>
            </w:hyperlink>
            <w:r>
              <w:rPr/>
              <w:t>, incorporated herein by reference to Exhibit 3.1 to the Registrant’s Current Report on Form 8-K filed with the Commission on October 1, 2026</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4.3</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r:id="rId19">
              <w:r>
                <w:rPr>
                  <w:rStyle w:val="InternetLink"/>
                </w:rPr>
                <w:t>Amended and Restated Bylaws of Gentherm Incorporated</w:t>
              </w:r>
            </w:hyperlink>
            <w:r>
              <w:rPr/>
              <w:t>, incorporated herein by reference to Exhibit 3.1 to the Registrant’s Current Report on Form 8-K filed with the Commission on May 26, 2016</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5*</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w:anchor="d215067dex5.htm">
              <w:r>
                <w:rPr>
                  <w:rStyle w:val="InternetLink"/>
                </w:rPr>
                <w:t xml:space="preserve">Opinion of Honigman LLP </w:t>
              </w:r>
            </w:hyperlink>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10.1</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r:id="rId20">
              <w:r>
                <w:rPr>
                  <w:rStyle w:val="InternetLink"/>
                </w:rPr>
                <w:t>Gentherm Incorporated 2023 Equity Incentive Plan</w:t>
              </w:r>
            </w:hyperlink>
            <w:r>
              <w:rPr/>
              <w:t>, incorporated herein by reference to Exhibit 10.1 to the Registrant’s Current Report on Form 8-K filed with the Commission on May 18, 2023</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9468" w:type="dxa"/>
            <w:gridSpan w:val="2"/>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283"/>
              <w:jc w:val="left"/>
              <w:rPr/>
            </w:pPr>
            <w:r>
              <w:rPr/>
              <w:t>10.2</w:t>
            </w:r>
          </w:p>
        </w:tc>
        <w:tc>
          <w:tcPr>
            <w:tcW w:w="431" w:type="dxa"/>
            <w:tcBorders/>
            <w:vAlign w:val="bottom"/>
          </w:tcPr>
          <w:p>
            <w:pPr>
              <w:pStyle w:val="TableContents"/>
              <w:bidi w:val="0"/>
              <w:spacing w:before="0" w:after="283"/>
              <w:jc w:val="left"/>
              <w:rPr/>
            </w:pPr>
            <w:r>
              <w:rPr/>
              <w:t>  </w:t>
            </w:r>
          </w:p>
        </w:tc>
        <w:tc>
          <w:tcPr>
            <w:tcW w:w="9037" w:type="dxa"/>
            <w:tcBorders/>
          </w:tcPr>
          <w:p>
            <w:pPr>
              <w:pStyle w:val="TableContents"/>
              <w:bidi w:val="0"/>
              <w:spacing w:before="0" w:after="283"/>
              <w:jc w:val="left"/>
              <w:rPr/>
            </w:pPr>
            <w:hyperlink r:id="rId21">
              <w:r>
                <w:rPr>
                  <w:rStyle w:val="InternetLink"/>
                </w:rPr>
                <w:t>First Amendment to Gentherm Incorporated 2023 Equity Incentive Plan</w:t>
              </w:r>
            </w:hyperlink>
            <w:r>
              <w:rPr/>
              <w:t>, incorporated herein by reference to Exhibit 10.1 to the Registrant’s Current Report on Form 8-K filed with the Commission on May 19, 2026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28"/>
        <w:gridCol w:w="426"/>
        <w:gridCol w:w="9051"/>
      </w:tblGrid>
      <w:tr>
        <w:trPr/>
        <w:tc>
          <w:tcPr>
            <w:tcW w:w="728"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051" w:type="dxa"/>
            <w:tcBorders/>
            <w:vAlign w:val="center"/>
          </w:tcPr>
          <w:p>
            <w:pPr>
              <w:pStyle w:val="TableContents"/>
              <w:bidi w:val="0"/>
              <w:spacing w:before="0" w:after="283"/>
              <w:jc w:val="left"/>
              <w:rPr>
                <w:sz w:val="4"/>
                <w:szCs w:val="4"/>
              </w:rPr>
            </w:pPr>
            <w:r>
              <w:rPr>
                <w:sz w:val="4"/>
                <w:szCs w:val="4"/>
              </w:rPr>
            </w:r>
          </w:p>
        </w:tc>
      </w:tr>
      <w:tr>
        <w:trPr/>
        <w:tc>
          <w:tcPr>
            <w:tcW w:w="728"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426" w:type="dxa"/>
            <w:tcBorders/>
            <w:vAlign w:val="bottom"/>
          </w:tcPr>
          <w:p>
            <w:pPr>
              <w:pStyle w:val="TableContents"/>
              <w:bidi w:val="0"/>
              <w:spacing w:before="0" w:after="283"/>
              <w:jc w:val="left"/>
              <w:rPr/>
            </w:pPr>
            <w:r>
              <w:rPr/>
              <w:t>  </w:t>
            </w:r>
          </w:p>
        </w:tc>
        <w:tc>
          <w:tcPr>
            <w:tcW w:w="90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23.1*</w:t>
            </w:r>
          </w:p>
        </w:tc>
        <w:tc>
          <w:tcPr>
            <w:tcW w:w="426" w:type="dxa"/>
            <w:tcBorders/>
            <w:vAlign w:val="bottom"/>
          </w:tcPr>
          <w:p>
            <w:pPr>
              <w:pStyle w:val="TableContents"/>
              <w:bidi w:val="0"/>
              <w:spacing w:before="0" w:after="283"/>
              <w:jc w:val="left"/>
              <w:rPr/>
            </w:pPr>
            <w:r>
              <w:rPr/>
              <w:t>  </w:t>
            </w:r>
          </w:p>
        </w:tc>
        <w:tc>
          <w:tcPr>
            <w:tcW w:w="9051" w:type="dxa"/>
            <w:tcBorders/>
          </w:tcPr>
          <w:p>
            <w:pPr>
              <w:pStyle w:val="TableContents"/>
              <w:bidi w:val="0"/>
              <w:spacing w:before="0" w:after="283"/>
              <w:jc w:val="left"/>
              <w:rPr/>
            </w:pPr>
            <w:hyperlink w:anchor="d215067dex231.htm">
              <w:r>
                <w:rPr>
                  <w:rStyle w:val="InternetLink"/>
                </w:rPr>
                <w:t xml:space="preserve">Consent of Ernst &amp; Young LLP </w:t>
              </w:r>
            </w:hyperlink>
          </w:p>
        </w:tc>
      </w:tr>
      <w:tr>
        <w:trPr>
          <w:trHeight w:val="120" w:hRule="atLeast"/>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23.2*</w:t>
            </w:r>
          </w:p>
        </w:tc>
        <w:tc>
          <w:tcPr>
            <w:tcW w:w="426" w:type="dxa"/>
            <w:tcBorders/>
            <w:vAlign w:val="bottom"/>
          </w:tcPr>
          <w:p>
            <w:pPr>
              <w:pStyle w:val="TableContents"/>
              <w:bidi w:val="0"/>
              <w:spacing w:before="0" w:after="283"/>
              <w:jc w:val="left"/>
              <w:rPr/>
            </w:pPr>
            <w:r>
              <w:rPr/>
              <w:t>  </w:t>
            </w:r>
          </w:p>
        </w:tc>
        <w:tc>
          <w:tcPr>
            <w:tcW w:w="9051" w:type="dxa"/>
            <w:tcBorders/>
          </w:tcPr>
          <w:p>
            <w:pPr>
              <w:pStyle w:val="TableContents"/>
              <w:bidi w:val="0"/>
              <w:spacing w:before="0" w:after="283"/>
              <w:jc w:val="left"/>
              <w:rPr/>
            </w:pPr>
            <w:hyperlink w:anchor="d215067dex5.htm">
              <w:r>
                <w:rPr>
                  <w:rStyle w:val="InternetLink"/>
                </w:rPr>
                <w:t xml:space="preserve">Consent of Honigman LLP (included in its opinion filed as Exhibit 5 to this Registration Statement) </w:t>
              </w:r>
            </w:hyperlink>
          </w:p>
        </w:tc>
      </w:tr>
      <w:tr>
        <w:trPr>
          <w:trHeight w:val="120" w:hRule="atLeast"/>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24*</w:t>
            </w:r>
          </w:p>
        </w:tc>
        <w:tc>
          <w:tcPr>
            <w:tcW w:w="426" w:type="dxa"/>
            <w:tcBorders/>
            <w:vAlign w:val="bottom"/>
          </w:tcPr>
          <w:p>
            <w:pPr>
              <w:pStyle w:val="TableContents"/>
              <w:bidi w:val="0"/>
              <w:spacing w:before="0" w:after="283"/>
              <w:jc w:val="left"/>
              <w:rPr/>
            </w:pPr>
            <w:r>
              <w:rPr/>
              <w:t>  </w:t>
            </w:r>
          </w:p>
        </w:tc>
        <w:tc>
          <w:tcPr>
            <w:tcW w:w="9051" w:type="dxa"/>
            <w:tcBorders/>
          </w:tcPr>
          <w:p>
            <w:pPr>
              <w:pStyle w:val="TableContents"/>
              <w:bidi w:val="0"/>
              <w:spacing w:before="0" w:after="283"/>
              <w:jc w:val="left"/>
              <w:rPr/>
            </w:pPr>
            <w:hyperlink w:anchor="sig">
              <w:r>
                <w:rPr>
                  <w:rStyle w:val="InternetLink"/>
                </w:rPr>
                <w:t xml:space="preserve">Power of Attorney (included after the signature of the Registrant contained in this Registration Statement) </w:t>
              </w:r>
            </w:hyperlink>
          </w:p>
        </w:tc>
      </w:tr>
      <w:tr>
        <w:trPr>
          <w:trHeight w:val="120" w:hRule="atLeast"/>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tcPr>
          <w:p>
            <w:pPr>
              <w:pStyle w:val="TableContents"/>
              <w:bidi w:val="0"/>
              <w:spacing w:before="0" w:after="283"/>
              <w:jc w:val="left"/>
              <w:rPr/>
            </w:pPr>
            <w:r>
              <w:rPr/>
              <w:t>107*</w:t>
            </w:r>
          </w:p>
        </w:tc>
        <w:tc>
          <w:tcPr>
            <w:tcW w:w="426" w:type="dxa"/>
            <w:tcBorders/>
            <w:vAlign w:val="bottom"/>
          </w:tcPr>
          <w:p>
            <w:pPr>
              <w:pStyle w:val="TableContents"/>
              <w:bidi w:val="0"/>
              <w:spacing w:before="0" w:after="283"/>
              <w:jc w:val="left"/>
              <w:rPr/>
            </w:pPr>
            <w:r>
              <w:rPr/>
              <w:t>  </w:t>
            </w:r>
          </w:p>
        </w:tc>
        <w:tc>
          <w:tcPr>
            <w:tcW w:w="9051" w:type="dxa"/>
            <w:tcBorders/>
          </w:tcPr>
          <w:p>
            <w:pPr>
              <w:pStyle w:val="TableContents"/>
              <w:bidi w:val="0"/>
              <w:spacing w:before="0" w:after="283"/>
              <w:jc w:val="left"/>
              <w:rPr/>
            </w:pPr>
            <w:hyperlink w:anchor="d215067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Novi, State of Michigan, on October 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4082" w:type="dxa"/>
            <w:gridSpan w:val="3"/>
            <w:tcBorders/>
          </w:tcPr>
          <w:p>
            <w:pPr>
              <w:pStyle w:val="TableContents"/>
              <w:bidi w:val="0"/>
              <w:spacing w:before="0" w:after="283"/>
              <w:jc w:val="left"/>
              <w:rPr/>
            </w:pPr>
            <w:r>
              <w:rPr/>
              <w:t>William Presley</w:t>
            </w:r>
          </w:p>
        </w:tc>
      </w:tr>
      <w:tr>
        <w:trPr/>
        <w:tc>
          <w:tcPr>
            <w:tcW w:w="4082" w:type="dxa"/>
            <w:gridSpan w:val="3"/>
            <w:tcBorders/>
          </w:tcPr>
          <w:p>
            <w:pPr>
              <w:pStyle w:val="TableContents"/>
              <w:bidi w:val="0"/>
              <w:spacing w:before="0" w:after="283"/>
              <w:jc w:val="left"/>
              <w:rPr/>
            </w:pPr>
            <w:r>
              <w:rPr/>
              <w:t>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William Presley, Jonathan Douyard and Wayne Kauffman as his or her true and lawful attorneys-in-fact and agents with full power of substitution and resubstitution, for him or her and in his or her name, place and stead, in any and all capacities, to (i) act on, sign and file with the Commission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4"/>
        <w:gridCol w:w="122"/>
        <w:gridCol w:w="4010"/>
        <w:gridCol w:w="122"/>
        <w:gridCol w:w="1687"/>
      </w:tblGrid>
      <w:tr>
        <w:trPr/>
        <w:tc>
          <w:tcPr>
            <w:tcW w:w="42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bidi w:val="0"/>
              <w:spacing w:before="0" w:after="283"/>
              <w:jc w:val="left"/>
              <w:rPr/>
            </w:pPr>
            <w:r>
              <w:rPr/>
              <w:t>SIGNATURE</w:t>
            </w:r>
          </w:p>
        </w:tc>
        <w:tc>
          <w:tcPr>
            <w:tcW w:w="122" w:type="dxa"/>
            <w:tcBorders/>
            <w:vAlign w:val="bottom"/>
          </w:tcPr>
          <w:p>
            <w:pPr>
              <w:pStyle w:val="TableContents"/>
              <w:bidi w:val="0"/>
              <w:spacing w:before="0" w:after="283"/>
              <w:jc w:val="left"/>
              <w:rPr/>
            </w:pPr>
            <w:r>
              <w:rPr/>
              <w:t>  </w:t>
            </w:r>
          </w:p>
        </w:tc>
        <w:tc>
          <w:tcPr>
            <w:tcW w:w="4010" w:type="dxa"/>
            <w:tcBorders/>
            <w:vAlign w:val="bottom"/>
          </w:tcPr>
          <w:p>
            <w:pPr>
              <w:pStyle w:val="TableContents"/>
              <w:bidi w:val="0"/>
              <w:spacing w:before="0" w:after="283"/>
              <w:jc w:val="center"/>
              <w:rPr/>
            </w:pPr>
            <w:r>
              <w:rPr/>
              <w:t>TITLE</w:t>
            </w:r>
          </w:p>
        </w:tc>
        <w:tc>
          <w:tcPr>
            <w:tcW w:w="122"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center"/>
              <w:rPr/>
            </w:pPr>
            <w:r>
              <w:rPr/>
              <w:t>DATE</w:t>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Director, President</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William Presley</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0"/>
              <w:jc w:val="center"/>
              <w:rPr>
                <w:rFonts w:ascii="Times New Roman" w:hAnsi="Times New Roman"/>
                <w:sz w:val="20"/>
              </w:rPr>
            </w:pPr>
            <w:r>
              <w:rPr>
                <w:rFonts w:ascii="Times New Roman" w:hAnsi="Times New Roman"/>
                <w:sz w:val="20"/>
              </w:rPr>
              <w:t>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DOUYARD</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Executive Vice President, Chief Financial Officer and Treasurer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Jonathan Douyard</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(Principal Financial Officer)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BREISACHER</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Chief Accounting Officer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Nicholas Breisacher</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(Principal Accounting Officer)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HUNDZINSKI</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Director, Chairman of the Board</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Ronald Hundzinski</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SOPHIE DESORMIÈRE</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Sophie Desormière</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HEINZMANN</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David Heinzmann</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r>
        <w:trPr>
          <w:trHeight w:val="240" w:hRule="atLeast"/>
        </w:trPr>
        <w:tc>
          <w:tcPr>
            <w:tcW w:w="4264" w:type="dxa"/>
            <w:tcBorders/>
            <w:vAlign w:val="center"/>
          </w:tcPr>
          <w:p>
            <w:pPr>
              <w:pStyle w:val="TableContents"/>
              <w:bidi w:val="0"/>
              <w:spacing w:before="0" w:after="283"/>
              <w:jc w:val="left"/>
              <w:rPr>
                <w:sz w:val="4"/>
                <w:szCs w:val="4"/>
              </w:rPr>
            </w:pPr>
            <w:r>
              <w:rPr>
                <w:sz w:val="4"/>
                <w:szCs w:val="4"/>
              </w:rPr>
            </w:r>
          </w:p>
        </w:tc>
        <w:tc>
          <w:tcPr>
            <w:tcW w:w="4132"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42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LAURA KOWALCHIK</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October 1, 2026</w:t>
            </w:r>
          </w:p>
        </w:tc>
      </w:tr>
      <w:tr>
        <w:trPr/>
        <w:tc>
          <w:tcPr>
            <w:tcW w:w="4264" w:type="dxa"/>
            <w:tcBorders/>
          </w:tcPr>
          <w:p>
            <w:pPr>
              <w:pStyle w:val="TableContents"/>
              <w:bidi w:val="0"/>
              <w:spacing w:before="0" w:after="283"/>
              <w:jc w:val="left"/>
              <w:rPr/>
            </w:pPr>
            <w:r>
              <w:rPr/>
              <w:t>Laura Kowalchik</w:t>
            </w:r>
          </w:p>
        </w:tc>
        <w:tc>
          <w:tcPr>
            <w:tcW w:w="122"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287"/>
        <w:gridCol w:w="120"/>
        <w:gridCol w:w="3981"/>
        <w:gridCol w:w="120"/>
        <w:gridCol w:w="1697"/>
      </w:tblGrid>
      <w:tr>
        <w:trPr/>
        <w:tc>
          <w:tcPr>
            <w:tcW w:w="42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101" w:type="dxa"/>
            <w:gridSpan w:val="2"/>
            <w:tcBorders/>
            <w:vAlign w:val="center"/>
          </w:tcPr>
          <w:p>
            <w:pPr>
              <w:pStyle w:val="TableContents"/>
              <w:bidi w:val="0"/>
              <w:spacing w:before="0" w:after="283"/>
              <w:jc w:val="left"/>
              <w:rPr>
                <w:sz w:val="4"/>
                <w:szCs w:val="4"/>
              </w:rPr>
            </w:pPr>
            <w:r>
              <w:rPr>
                <w:sz w:val="4"/>
                <w:szCs w:val="4"/>
              </w:rPr>
            </w:r>
          </w:p>
        </w:tc>
        <w:tc>
          <w:tcPr>
            <w:tcW w:w="1817"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KUMMETH</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October 1, 2026</w:t>
            </w:r>
          </w:p>
        </w:tc>
      </w:tr>
      <w:tr>
        <w:trPr/>
        <w:tc>
          <w:tcPr>
            <w:tcW w:w="4287" w:type="dxa"/>
            <w:tcBorders/>
          </w:tcPr>
          <w:p>
            <w:pPr>
              <w:pStyle w:val="TableContents"/>
              <w:bidi w:val="0"/>
              <w:spacing w:before="0" w:after="283"/>
              <w:jc w:val="left"/>
              <w:rPr/>
            </w:pPr>
            <w:r>
              <w:rPr/>
              <w:t>Charles Kummeth</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101" w:type="dxa"/>
            <w:gridSpan w:val="2"/>
            <w:tcBorders/>
            <w:vAlign w:val="center"/>
          </w:tcPr>
          <w:p>
            <w:pPr>
              <w:pStyle w:val="TableContents"/>
              <w:bidi w:val="0"/>
              <w:spacing w:before="0" w:after="283"/>
              <w:jc w:val="left"/>
              <w:rPr>
                <w:sz w:val="4"/>
                <w:szCs w:val="4"/>
              </w:rPr>
            </w:pPr>
            <w:r>
              <w:rPr>
                <w:sz w:val="4"/>
                <w:szCs w:val="4"/>
              </w:rPr>
            </w:r>
          </w:p>
        </w:tc>
        <w:tc>
          <w:tcPr>
            <w:tcW w:w="1817"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MASCARENAS</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October 1, 2026</w:t>
            </w:r>
          </w:p>
        </w:tc>
      </w:tr>
      <w:tr>
        <w:trPr/>
        <w:tc>
          <w:tcPr>
            <w:tcW w:w="4287" w:type="dxa"/>
            <w:tcBorders/>
          </w:tcPr>
          <w:p>
            <w:pPr>
              <w:pStyle w:val="TableContents"/>
              <w:bidi w:val="0"/>
              <w:spacing w:before="0" w:after="283"/>
              <w:jc w:val="left"/>
              <w:rPr/>
            </w:pPr>
            <w:r>
              <w:rPr/>
              <w:t>Paul Mascarenas</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101" w:type="dxa"/>
            <w:gridSpan w:val="2"/>
            <w:tcBorders/>
            <w:vAlign w:val="center"/>
          </w:tcPr>
          <w:p>
            <w:pPr>
              <w:pStyle w:val="TableContents"/>
              <w:bidi w:val="0"/>
              <w:spacing w:before="0" w:after="283"/>
              <w:jc w:val="left"/>
              <w:rPr>
                <w:sz w:val="4"/>
                <w:szCs w:val="4"/>
              </w:rPr>
            </w:pPr>
            <w:r>
              <w:rPr>
                <w:sz w:val="4"/>
                <w:szCs w:val="4"/>
              </w:rPr>
            </w:r>
          </w:p>
        </w:tc>
        <w:tc>
          <w:tcPr>
            <w:tcW w:w="1817"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BETSY METER</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October 1, 2026</w:t>
            </w:r>
          </w:p>
        </w:tc>
      </w:tr>
      <w:tr>
        <w:trPr/>
        <w:tc>
          <w:tcPr>
            <w:tcW w:w="4287" w:type="dxa"/>
            <w:tcBorders/>
          </w:tcPr>
          <w:p>
            <w:pPr>
              <w:pStyle w:val="TableContents"/>
              <w:bidi w:val="0"/>
              <w:spacing w:before="0" w:after="283"/>
              <w:jc w:val="left"/>
              <w:rPr/>
            </w:pPr>
            <w:r>
              <w:rPr/>
              <w:t>Betsy Meter</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101" w:type="dxa"/>
            <w:gridSpan w:val="2"/>
            <w:tcBorders/>
            <w:vAlign w:val="center"/>
          </w:tcPr>
          <w:p>
            <w:pPr>
              <w:pStyle w:val="TableContents"/>
              <w:bidi w:val="0"/>
              <w:spacing w:before="0" w:after="283"/>
              <w:jc w:val="left"/>
              <w:rPr>
                <w:sz w:val="4"/>
                <w:szCs w:val="4"/>
              </w:rPr>
            </w:pPr>
            <w:r>
              <w:rPr>
                <w:sz w:val="4"/>
                <w:szCs w:val="4"/>
              </w:rPr>
            </w:r>
          </w:p>
        </w:tc>
        <w:tc>
          <w:tcPr>
            <w:tcW w:w="1817"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STACEY</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October 1, 2026</w:t>
            </w:r>
          </w:p>
        </w:tc>
      </w:tr>
      <w:tr>
        <w:trPr/>
        <w:tc>
          <w:tcPr>
            <w:tcW w:w="4287" w:type="dxa"/>
            <w:tcBorders/>
          </w:tcPr>
          <w:p>
            <w:pPr>
              <w:pStyle w:val="TableContents"/>
              <w:bidi w:val="0"/>
              <w:spacing w:before="0" w:after="283"/>
              <w:jc w:val="left"/>
              <w:rPr/>
            </w:pPr>
            <w:r>
              <w:rPr/>
              <w:t>John Stacey</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4101" w:type="dxa"/>
            <w:gridSpan w:val="2"/>
            <w:tcBorders/>
            <w:vAlign w:val="center"/>
          </w:tcPr>
          <w:p>
            <w:pPr>
              <w:pStyle w:val="TableContents"/>
              <w:bidi w:val="0"/>
              <w:spacing w:before="0" w:after="283"/>
              <w:jc w:val="left"/>
              <w:rPr>
                <w:sz w:val="4"/>
                <w:szCs w:val="4"/>
              </w:rPr>
            </w:pPr>
            <w:r>
              <w:rPr>
                <w:sz w:val="4"/>
                <w:szCs w:val="4"/>
              </w:rPr>
            </w:r>
          </w:p>
        </w:tc>
        <w:tc>
          <w:tcPr>
            <w:tcW w:w="1817"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WASHINGTON</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pPr>
            <w:r>
              <w:rPr/>
              <w:t>October 1, 2026</w:t>
            </w:r>
          </w:p>
        </w:tc>
      </w:tr>
      <w:tr>
        <w:trPr/>
        <w:tc>
          <w:tcPr>
            <w:tcW w:w="4287" w:type="dxa"/>
            <w:tcBorders/>
          </w:tcPr>
          <w:p>
            <w:pPr>
              <w:pStyle w:val="TableContents"/>
              <w:bidi w:val="0"/>
              <w:spacing w:before="0" w:after="283"/>
              <w:jc w:val="left"/>
              <w:rPr/>
            </w:pPr>
            <w:r>
              <w:rPr/>
              <w:t>Kenneth Washington</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S-8 REGISTRATION STATEMENT] </w:t>
      </w:r>
    </w:p>
    <w:p>
      <w:pPr>
        <w:pStyle w:val="TextBody"/>
        <w:bidi w:val="0"/>
        <w:spacing w:before="0" w:after="0"/>
        <w:jc w:val="right"/>
        <w:rPr>
          <w:rFonts w:ascii="Times New Roman" w:hAnsi="Times New Roman"/>
          <w:b/>
          <w:sz w:val="20"/>
        </w:rPr>
      </w:pPr>
      <w:bookmarkStart w:id="3" w:name="d215067dex5.htm"/>
      <w:bookmarkStart w:id="4" w:name="ksd215067dex5"/>
      <w:bookmarkEnd w:id="3"/>
      <w:bookmarkEnd w:id="4"/>
      <w:r>
        <w:rPr>
          <w:rFonts w:ascii="Times New Roman" w:hAnsi="Times New Roman"/>
          <w:b/>
          <w:sz w:val="20"/>
        </w:rPr>
        <w:t xml:space="preserve">Exhibit 5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526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752600" cy="2952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October 1, 2026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240" w:after="0"/>
        <w:jc w:val="left"/>
        <w:rPr>
          <w:rFonts w:ascii="Times New Roman" w:hAnsi="Times New Roman"/>
          <w:b/>
          <w:i/>
          <w:sz w:val="20"/>
        </w:rPr>
      </w:pPr>
      <w:r>
        <w:rPr>
          <w:rFonts w:ascii="Times New Roman" w:hAnsi="Times New Roman"/>
          <w:b/>
          <w:i/>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Gentherm Incorporated, a Michigan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S-8 (the “</w:t>
      </w:r>
      <w:r>
        <w:rPr>
          <w:rFonts w:ascii="Times New Roman" w:hAnsi="Times New Roman"/>
          <w:sz w:val="20"/>
          <w:u w:val="single"/>
        </w:rPr>
        <w:t>Registration Statement</w:t>
      </w:r>
      <w:r>
        <w:rPr>
          <w:rFonts w:ascii="Times New Roman" w:hAnsi="Times New Roman"/>
          <w:sz w:val="20"/>
        </w:rPr>
        <w:t>”) for the registration under the Securities Act of 1933, as amended (the “</w:t>
      </w:r>
      <w:r>
        <w:rPr>
          <w:rFonts w:ascii="Times New Roman" w:hAnsi="Times New Roman"/>
          <w:sz w:val="20"/>
          <w:u w:val="single"/>
        </w:rPr>
        <w:t>Securities Act</w:t>
      </w:r>
      <w:r>
        <w:rPr>
          <w:rFonts w:ascii="Times New Roman" w:hAnsi="Times New Roman"/>
          <w:sz w:val="20"/>
        </w:rPr>
        <w:t>”), of a maximum of 176,473 shares (the “</w:t>
      </w:r>
      <w:r>
        <w:rPr>
          <w:rFonts w:ascii="Times New Roman" w:hAnsi="Times New Roman"/>
          <w:sz w:val="20"/>
          <w:u w:val="single"/>
        </w:rPr>
        <w:t>Shares</w:t>
      </w:r>
      <w:r>
        <w:rPr>
          <w:rFonts w:ascii="Times New Roman" w:hAnsi="Times New Roman"/>
          <w:sz w:val="20"/>
        </w:rPr>
        <w:t>”) of the Company’s common stock, no par value (the “</w:t>
      </w:r>
      <w:r>
        <w:rPr>
          <w:rFonts w:ascii="Times New Roman" w:hAnsi="Times New Roman"/>
          <w:sz w:val="20"/>
          <w:u w:val="single"/>
        </w:rPr>
        <w:t>Common Stock</w:t>
      </w:r>
      <w:r>
        <w:rPr>
          <w:rFonts w:ascii="Times New Roman" w:hAnsi="Times New Roman"/>
          <w:sz w:val="20"/>
        </w:rPr>
        <w:t>”), to be issued by the Company pursuant to awards under the Gentherm Incorporated 2023 Equity Incentive Plan (as amended from time to time, the “</w:t>
      </w:r>
      <w:r>
        <w:rPr>
          <w:rFonts w:ascii="Times New Roman" w:hAnsi="Times New Roman"/>
          <w:sz w:val="20"/>
          <w:u w:val="single"/>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Michigan Business Corporation Act.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the genuineness of all signatures on all documents examined by us, the due authority of the parties signing such documents, the authenticity of all documents submitted to us as originals, the conformity to authentic originals of all documents submitted to us as copies and that the offer and sale of the Shares complies in all respects with the terms, conditions and restrictions set forth in the Registration Statement and the Plan. The Company has represented to us and we have also assumed that the Company has reserved from its duly authorized capital stock a sufficient number of shares of Common Stock, including the Shares, for issuance under the Plan and will keep such reserve available at all times to enable the Company to issue and deliver the Shares upon the settlement of awards under the Plan. We have also assumed without independent investigation that there are no agreements or understandings between or among the Company and any participants in the Plan that would expand, modify or otherwise affect the terms of the Plan or the respective rights or obligations of the participants thereunder. </w:t>
      </w:r>
    </w:p>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and based upon our examination of such documents and other matters as we deem relevant, we are of the opinion that the Shares to be issued by the Company under the Plan pursuant to the Registration Statement are duly authorized and, when issued and sold by the Company in accordance with the Plan and the awards thereunder, the Registration Statement and the related prospectus,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speaks only as of its date. We do not undertake any obligation to advise you or any other party of changes of law or fact that occur after the date of this opinion letter – even though the change may affect the legal analysis or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Exhibit 5 to the Registration Statement. In giving such consent, we do not admit that we are within the category of persons whose consent is required by Section 7 of the Securities Act or the rules and regulations promulgated thereunder by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/s/ </w:t>
            </w:r>
            <w:r>
              <w:rPr>
                <w:b/>
              </w:rPr>
              <w:t>HONIGMAN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c: MKB/JHK/GDP/JPK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b/>
                <w:sz w:val="20"/>
              </w:rPr>
            </w:pPr>
            <w:r>
              <w:rPr>
                <w:rFonts w:ascii="Times New Roman" w:hAnsi="Times New Roman"/>
                <w:b/>
                <w:sz w:val="20"/>
              </w:rPr>
              <w:t>Honigman LLP  2290 First National Building  660 Woodward Avenue  Detroit, Michigan 48226-3506</w:t>
            </w:r>
          </w:p>
        </w:tc>
      </w:tr>
    </w:tbl>
    <w:p>
      <w:pPr>
        <w:pStyle w:val="TextBody"/>
        <w:bidi w:val="0"/>
        <w:spacing w:before="0" w:after="0"/>
        <w:jc w:val="right"/>
        <w:rPr>
          <w:rFonts w:ascii="Times New Roman" w:hAnsi="Times New Roman"/>
          <w:b/>
          <w:sz w:val="20"/>
        </w:rPr>
      </w:pPr>
      <w:bookmarkStart w:id="5" w:name="d215067dex231.htm"/>
      <w:bookmarkStart w:id="6" w:name="ksd215067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Gentherm Incorporated 2023 Equity Incentive Plan of Gentherm Incorporated of our reports dated February 19, 2026, with respect to the consolidated financial statements of Gentherm Incorporated and the effectiveness of internal control over financial reporting of Gentherm Incorporated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Detroit, Michigan </w:t>
      </w:r>
    </w:p>
    <w:p>
      <w:pPr>
        <w:pStyle w:val="TextBody"/>
        <w:bidi w:val="0"/>
        <w:spacing w:before="240" w:after="0"/>
        <w:jc w:val="left"/>
        <w:rPr>
          <w:rFonts w:ascii="Times New Roman" w:hAnsi="Times New Roman"/>
          <w:sz w:val="20"/>
        </w:rPr>
      </w:pPr>
      <w:r>
        <w:rPr>
          <w:rFonts w:ascii="Times New Roman" w:hAnsi="Times New Roman"/>
          <w:sz w:val="20"/>
        </w:rPr>
        <w:t xml:space="preserve">October 1, 2026 </w:t>
      </w:r>
    </w:p>
    <w:p>
      <w:pPr>
        <w:pStyle w:val="Normal"/>
        <w:bidi w:val="0"/>
        <w:spacing w:before="0" w:after="0"/>
        <w:jc w:val="left"/>
        <w:rPr>
          <w:sz w:val="4"/>
          <w:szCs w:val="4"/>
        </w:rPr>
      </w:pPr>
      <w:r>
        <w:rPr>
          <w:sz w:val="4"/>
          <w:szCs w:val="4"/>
        </w:rPr>
      </w:r>
      <w:bookmarkStart w:id="7" w:name="d215067dexfilingfees.htm"/>
      <w:bookmarkStart w:id="8" w:name="ksd215067dexfilingfees"/>
      <w:bookmarkStart w:id="9" w:name="d215067dexfilingfees.htm"/>
      <w:bookmarkStart w:id="10" w:name="ksd215067dexfilingfees"/>
      <w:bookmarkEnd w:id="9"/>
      <w:bookmarkEnd w:id="10"/>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Gentherm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1"/>
        <w:gridCol w:w="1205"/>
        <w:gridCol w:w="1300"/>
        <w:gridCol w:w="1209"/>
        <w:gridCol w:w="1241"/>
        <w:gridCol w:w="1601"/>
        <w:gridCol w:w="1007"/>
        <w:gridCol w:w="143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0"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1" w:type="dxa"/>
            <w:tcBorders/>
            <w:shd w:fill="E7E7E2" w:val="clear"/>
            <w:vAlign w:val="center"/>
          </w:tcPr>
          <w:p>
            <w:pPr>
              <w:pStyle w:val="TableContents"/>
              <w:bidi w:val="0"/>
              <w:spacing w:before="0" w:after="283"/>
              <w:jc w:val="left"/>
              <w:rPr/>
            </w:pPr>
            <w:r>
              <w:rPr/>
              <w:t xml:space="preserve">Equity </w:t>
            </w:r>
          </w:p>
        </w:tc>
        <w:tc>
          <w:tcPr>
            <w:tcW w:w="1205" w:type="dxa"/>
            <w:tcBorders/>
            <w:shd w:fill="E7E7E2" w:val="clear"/>
            <w:vAlign w:val="center"/>
          </w:tcPr>
          <w:p>
            <w:pPr>
              <w:pStyle w:val="TableContents"/>
              <w:bidi w:val="0"/>
              <w:spacing w:before="0" w:after="283"/>
              <w:jc w:val="left"/>
              <w:rPr/>
            </w:pPr>
            <w:r>
              <w:rPr/>
              <w:t xml:space="preserve">Common Stock, no par value, reserved for issuance under the 2023 Equity Incentive Plan, as amended </w:t>
            </w:r>
          </w:p>
        </w:tc>
        <w:tc>
          <w:tcPr>
            <w:tcW w:w="1300" w:type="dxa"/>
            <w:tcBorders/>
            <w:shd w:fill="E7E7E2" w:val="clear"/>
            <w:vAlign w:val="center"/>
          </w:tcPr>
          <w:p>
            <w:pPr>
              <w:pStyle w:val="TableContents"/>
              <w:bidi w:val="0"/>
              <w:spacing w:before="0" w:after="283"/>
              <w:jc w:val="center"/>
              <w:rPr/>
            </w:pPr>
            <w:r>
              <w:rPr/>
              <w:t xml:space="preserve">Other </w:t>
            </w:r>
          </w:p>
        </w:tc>
        <w:tc>
          <w:tcPr>
            <w:tcW w:w="1209" w:type="dxa"/>
            <w:tcBorders/>
            <w:shd w:fill="E7E7E2" w:val="clear"/>
            <w:vAlign w:val="center"/>
          </w:tcPr>
          <w:p>
            <w:pPr>
              <w:pStyle w:val="TableContents"/>
              <w:bidi w:val="0"/>
              <w:spacing w:before="0" w:after="283"/>
              <w:jc w:val="right"/>
              <w:rPr/>
            </w:pPr>
            <w:r>
              <w:rPr/>
              <w:t xml:space="preserve">176,473 </w:t>
            </w:r>
          </w:p>
        </w:tc>
        <w:tc>
          <w:tcPr>
            <w:tcW w:w="1241" w:type="dxa"/>
            <w:tcBorders/>
            <w:shd w:fill="E7E7E2" w:val="clear"/>
            <w:vAlign w:val="center"/>
          </w:tcPr>
          <w:p>
            <w:pPr>
              <w:pStyle w:val="TableContents"/>
              <w:bidi w:val="0"/>
              <w:spacing w:before="0" w:after="283"/>
              <w:jc w:val="left"/>
              <w:rPr>
                <w:sz w:val="4"/>
                <w:szCs w:val="4"/>
              </w:rPr>
            </w:pPr>
            <w:r>
              <w:rPr>
                <w:sz w:val="4"/>
                <w:szCs w:val="4"/>
              </w:rPr>
            </w:r>
          </w:p>
        </w:tc>
        <w:tc>
          <w:tcPr>
            <w:tcW w:w="1601" w:type="dxa"/>
            <w:tcBorders/>
            <w:shd w:fill="E7E7E2" w:val="clear"/>
            <w:vAlign w:val="center"/>
          </w:tcPr>
          <w:p>
            <w:pPr>
              <w:pStyle w:val="TableContents"/>
              <w:bidi w:val="0"/>
              <w:spacing w:before="0" w:after="283"/>
              <w:jc w:val="right"/>
              <w:rPr/>
            </w:pPr>
            <w:r>
              <w:rPr/>
              <w:t xml:space="preserve">$ 5,630,379.24 </w:t>
            </w:r>
          </w:p>
        </w:tc>
        <w:tc>
          <w:tcPr>
            <w:tcW w:w="1007" w:type="dxa"/>
            <w:tcBorders/>
            <w:shd w:fill="E7E7E2" w:val="clear"/>
            <w:vAlign w:val="center"/>
          </w:tcPr>
          <w:p>
            <w:pPr>
              <w:pStyle w:val="TableContents"/>
              <w:bidi w:val="0"/>
              <w:spacing w:before="0" w:after="283"/>
              <w:jc w:val="right"/>
              <w:rPr/>
            </w:pPr>
            <w:r>
              <w:rPr/>
              <w:t xml:space="preserve">0.000087 </w:t>
            </w:r>
          </w:p>
        </w:tc>
        <w:tc>
          <w:tcPr>
            <w:tcW w:w="1439" w:type="dxa"/>
            <w:tcBorders/>
            <w:shd w:fill="E7E7E2" w:val="clear"/>
            <w:vAlign w:val="center"/>
          </w:tcPr>
          <w:p>
            <w:pPr>
              <w:pStyle w:val="TableContents"/>
              <w:bidi w:val="0"/>
              <w:spacing w:before="0" w:after="283"/>
              <w:jc w:val="right"/>
              <w:rPr/>
            </w:pPr>
            <w:r>
              <w:rPr/>
              <w:t xml:space="preserve">$ 489.84 </w:t>
            </w:r>
          </w:p>
        </w:tc>
      </w:tr>
      <w:tr>
        <w:trPr/>
        <w:tc>
          <w:tcPr>
            <w:tcW w:w="4917" w:type="dxa"/>
            <w:gridSpan w:val="5"/>
            <w:tcBorders/>
            <w:vAlign w:val="center"/>
          </w:tcPr>
          <w:p>
            <w:pPr>
              <w:pStyle w:val="TableContents"/>
              <w:bidi w:val="0"/>
              <w:spacing w:before="0" w:after="0"/>
              <w:ind w:left="0" w:right="0" w:hanging="0"/>
              <w:jc w:val="right"/>
              <w:rPr/>
            </w:pPr>
            <w:r>
              <w:rPr/>
              <w:t>Total Offering Amounts:</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0"/>
              <w:ind w:left="0" w:right="0" w:hanging="0"/>
              <w:jc w:val="right"/>
              <w:rPr/>
            </w:pPr>
            <w:bookmarkStart w:id="11" w:name="MaxAggtOfferingPrice"/>
            <w:bookmarkEnd w:id="11"/>
            <w:r>
              <w:rPr/>
              <w:t xml:space="preserve">$ 5,630,379.24 </w:t>
            </w:r>
          </w:p>
        </w:tc>
        <w:tc>
          <w:tcPr>
            <w:tcW w:w="1007" w:type="dxa"/>
            <w:tcBorders/>
            <w:vAlign w:val="center"/>
          </w:tcPr>
          <w:p>
            <w:pPr>
              <w:pStyle w:val="TableContents"/>
              <w:bidi w:val="0"/>
              <w:spacing w:before="0" w:after="283"/>
              <w:jc w:val="left"/>
              <w:rPr>
                <w:sz w:val="4"/>
                <w:szCs w:val="4"/>
              </w:rPr>
            </w:pPr>
            <w:r>
              <w:rPr>
                <w:sz w:val="4"/>
                <w:szCs w:val="4"/>
              </w:rPr>
            </w:r>
          </w:p>
        </w:tc>
        <w:tc>
          <w:tcPr>
            <w:tcW w:w="143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$ 489.84 </w:t>
            </w:r>
          </w:p>
        </w:tc>
      </w:tr>
      <w:tr>
        <w:trPr/>
        <w:tc>
          <w:tcPr>
            <w:tcW w:w="4917" w:type="dxa"/>
            <w:gridSpan w:val="5"/>
            <w:tcBorders/>
            <w:vAlign w:val="center"/>
          </w:tcPr>
          <w:p>
            <w:pPr>
              <w:pStyle w:val="TableContents"/>
              <w:bidi w:val="0"/>
              <w:spacing w:before="0" w:after="0"/>
              <w:ind w:left="0" w:right="0" w:hanging="0"/>
              <w:jc w:val="right"/>
              <w:rPr/>
            </w:pPr>
            <w:r>
              <w:rPr/>
              <w:t xml:space="preserve">Total Fee Offsets: </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917" w:type="dxa"/>
            <w:gridSpan w:val="5"/>
            <w:tcBorders/>
            <w:vAlign w:val="center"/>
          </w:tcPr>
          <w:p>
            <w:pPr>
              <w:pStyle w:val="TableContents"/>
              <w:bidi w:val="0"/>
              <w:spacing w:before="0" w:after="0"/>
              <w:ind w:left="0" w:right="0" w:hanging="0"/>
              <w:jc w:val="right"/>
              <w:rPr/>
            </w:pPr>
            <w:r>
              <w:rPr/>
              <w:t xml:space="preserve">Net Fee Due: </w:t>
            </w:r>
          </w:p>
        </w:tc>
        <w:tc>
          <w:tcPr>
            <w:tcW w:w="124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0"/>
              <w:ind w:left="0" w:right="0" w:hanging="0"/>
              <w:jc w:val="right"/>
              <w:rPr/>
            </w:pPr>
            <w:bookmarkStart w:id="14" w:name="NetFeeAmt"/>
            <w:bookmarkEnd w:id="14"/>
            <w:r>
              <w:rPr/>
              <w:t xml:space="preserve">$ 489.84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00"/>
        <w:gridCol w:w="8707"/>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also cover any additional shares of the Registrant's common stock, no par value ("Common Stock") that become issuable under the Gentherm Incorporated 2023 Equity Incentive Plan, as amended (the "2023 Plan") by reason of any stock dividend, stock split, recapitalization, or other similar transaction effected without receipt of consideration that increases the number of outstanding shares of Common Stock, as applicable.Estimated in accordance with Rules 457(c) and 457(h) under the Securities Act, solely for the purpose of computing the amount of the registration fee based on the sum of (i) the product of 166,532 shares of Common Stock reserved for issuance pursuant to certain outstanding equity awards of Modine Manufacturing Company that were converted into the Registrant's equity awards pursuant to that certain Employee Matters Agreement, dated as of October 1, 2026 (the "EMA"), as described in the Registrant's Registration Statement on Form S-4 (File No. 333-297224) ("S-4") and will be administered in accordance with the terms of the 2023 Plan (the "Converted Awards") and $33.57, the average of the high and low prices of shares of Common Stock as reported on the Nasdaq Global Select Market on September 29, 2026, and (ii) the product of 9,941 shares of Common Stock reserved for future issuance pursuant to certain outstanding stock options that were converted into the Registrant's stock options pursuant to the EMA as described in the S-4 and will be administered in accordance with the terms of the 2023 Plan ("Converted Options") and $2.26, the weighted-average exercise price at which such Converted Options may be exercised.Consists of (i) 166,532 shares of Converted Awards, and (ii) 9,941 shares reserved for future issuance pursuant to Converted Options.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903129/000119312526059602/thrm-20251231.htm" TargetMode="External"/><Relationship Id="rId3" Type="http://schemas.openxmlformats.org/officeDocument/2006/relationships/hyperlink" Target="http://www.sec.gov/Archives/edgar/data/../../../ix?doc=/Archives/edgar/data/0000903129/000114036126012756/ny20062556x1_def14a.htm" TargetMode="External"/><Relationship Id="rId4" Type="http://schemas.openxmlformats.org/officeDocument/2006/relationships/hyperlink" Target="http://www.sec.gov/Archives/edgar/data/../../../ix?doc=/Archives/edgar/data/0000903129/000119312526173920/thrm-20260331.htm" TargetMode="External"/><Relationship Id="rId5" Type="http://schemas.openxmlformats.org/officeDocument/2006/relationships/hyperlink" Target="http://www.sec.gov/Archives/edgar/data/../../../ix?doc=/Archives/edgar/data/0000903129/000119312526314184/thrm-20260630.htm" TargetMode="External"/><Relationship Id="rId6" Type="http://schemas.openxmlformats.org/officeDocument/2006/relationships/hyperlink" Target="http://www.sec.gov/Archives/edgar/data/../../../ix?doc=/Archives/edgar/data/0000903129/000119312526029374/d69298d8k.htm" TargetMode="External"/><Relationship Id="rId7" Type="http://schemas.openxmlformats.org/officeDocument/2006/relationships/hyperlink" Target="http://www.sec.gov/Archives/edgar/data/../../../ix?doc=/Archives/edgar/data/0000903129/000119312526082690/d763082d8k.htm" TargetMode="External"/><Relationship Id="rId8" Type="http://schemas.openxmlformats.org/officeDocument/2006/relationships/hyperlink" Target="http://www.sec.gov/Archives/edgar/data/../../../ix?doc=/Archives/edgar/data/0000903129/000119312526173969/d348690d8ka.htm" TargetMode="External"/><Relationship Id="rId9" Type="http://schemas.openxmlformats.org/officeDocument/2006/relationships/hyperlink" Target="http://www.sec.gov/Archives/edgar/data/../../../ix?doc=/Archives/edgar/data/0000903129/000119312526111187/d128390d8k.htm" TargetMode="External"/><Relationship Id="rId10" Type="http://schemas.openxmlformats.org/officeDocument/2006/relationships/hyperlink" Target="http://www.sec.gov/Archives/edgar/data/../../../ix?doc=/Archives/edgar/data/0000903129/000119312526122833/d113292d8k.htm" TargetMode="External"/><Relationship Id="rId11" Type="http://schemas.openxmlformats.org/officeDocument/2006/relationships/hyperlink" Target="http://www.sec.gov/Archives/edgar/data/../../../ix?doc=/Archives/edgar/data/0000903129/000119312526231132/d90313d8k.htm" TargetMode="External"/><Relationship Id="rId12" Type="http://schemas.openxmlformats.org/officeDocument/2006/relationships/hyperlink" Target="http://www.sec.gov/Archives/edgar/data/../../../ix?doc=/Archives/edgar/data/0000903129/000119312526293500/d52623d8k.htm" TargetMode="External"/><Relationship Id="rId13" Type="http://schemas.openxmlformats.org/officeDocument/2006/relationships/hyperlink" Target="http://www.sec.gov/Archives/edgar/data/../../../ix?doc=/Archives/edgar/data/0000903129/000119312526313204/thrm-20260723.htm" TargetMode="External"/><Relationship Id="rId14" Type="http://schemas.openxmlformats.org/officeDocument/2006/relationships/hyperlink" Target="http://www.sec.gov/Archives/edgar/data/../../../ix?doc=/Archives/edgar/data/0000903129/000119312526388630/d39841d8k.htm" TargetMode="External"/><Relationship Id="rId15" Type="http://schemas.openxmlformats.org/officeDocument/2006/relationships/hyperlink" Target="http://www.sec.gov/Archives/edgar/data/../../../ix?doc=/Archives/edgar/data/903129/000119312526410776/d214921d8k.htm" TargetMode="External"/><Relationship Id="rId16" Type="http://schemas.openxmlformats.org/officeDocument/2006/relationships/hyperlink" Target="http://www.sec.gov/Archives/edgar/data/903129/000156459020005507/thrm-ex4_529.htm" TargetMode="External"/><Relationship Id="rId17" Type="http://schemas.openxmlformats.org/officeDocument/2006/relationships/hyperlink" Target="http://www.sec.gov/Archives/edgar/data/903129/000119312518070672/d544984dex32.htm" TargetMode="External"/><Relationship Id="rId18" Type="http://schemas.openxmlformats.org/officeDocument/2006/relationships/hyperlink" Target="http://www.sec.gov/Archives/edgar/data/903129/000119312526410776/d214921dex31.htm" TargetMode="External"/><Relationship Id="rId19" Type="http://schemas.openxmlformats.org/officeDocument/2006/relationships/hyperlink" Target="http://www.sec.gov/Archives/edgar/data/903129/000156459016020008/thrm-ex31_6.htm" TargetMode="External"/><Relationship Id="rId20" Type="http://schemas.openxmlformats.org/officeDocument/2006/relationships/hyperlink" Target="http://www.sec.gov/Archives/edgar/data/903129/000119312523148147/d502782dex101.htm" TargetMode="External"/><Relationship Id="rId21" Type="http://schemas.openxmlformats.org/officeDocument/2006/relationships/hyperlink" Target="http://www.sec.gov/Archives/edgar/data/0000903129/000119312526231132/d90313dex101.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3153</Words>
  <Characters>17197</Characters>
  <CharactersWithSpaces>20418</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