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AMERIGON INCORPORATED</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81" w:right="399" w:bottom="1440" w:gutter="0" w:footer="0" w:header="0"/>
        </w:sectPr>
      </w:pPr>
    </w:p>
    <w:p>
      <w:pPr>
        <w:spacing w:after="0" w:line="28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0-21810</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95-4318554</w:t>
      </w:r>
    </w:p>
    <w:p>
      <w:pPr>
        <w:spacing w:after="0" w:line="46" w:lineRule="exact"/>
        <w:rPr>
          <w:sz w:val="24"/>
          <w:szCs w:val="24"/>
          <w:color w:val="auto"/>
        </w:rPr>
      </w:pPr>
    </w:p>
    <w:p>
      <w:pPr>
        <w:sectPr>
          <w:pgSz w:w="11900" w:h="16838" w:orient="portrait"/>
          <w:cols w:equalWidth="0" w:num="3">
            <w:col w:w="4820" w:space="720"/>
            <w:col w:w="2920" w:space="720"/>
            <w:col w:w="2080"/>
          </w:cols>
          <w:pgMar w:left="240" w:top="281" w:right="3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2780" w:space="720"/>
            <w:col w:w="2700"/>
          </w:cols>
          <w:pgMar w:left="240" w:top="281" w:right="399" w:bottom="1440" w:gutter="0" w:footer="0" w:header="0"/>
          <w:type w:val="continuous"/>
        </w:sectPr>
      </w:pPr>
    </w:p>
    <w:p>
      <w:pPr>
        <w:spacing w:after="0" w:line="1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21680 Haggerty Road, Ste. 101, Northville, MI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48167</w:t>
      </w:r>
    </w:p>
    <w:p>
      <w:pPr>
        <w:spacing w:after="0" w:line="46" w:lineRule="exact"/>
        <w:rPr>
          <w:sz w:val="24"/>
          <w:szCs w:val="24"/>
          <w:color w:val="auto"/>
        </w:rPr>
      </w:pPr>
    </w:p>
    <w:p>
      <w:pPr>
        <w:sectPr>
          <w:pgSz w:w="11900" w:h="16838" w:orient="portrait"/>
          <w:cols w:equalWidth="0" w:num="2">
            <w:col w:w="8660" w:space="720"/>
            <w:col w:w="1880"/>
          </w:cols>
          <w:pgMar w:left="240" w:top="281" w:right="39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8560" w:space="720"/>
            <w:col w:w="1980"/>
          </w:cols>
          <w:pgMar w:left="240" w:top="281" w:right="3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(248) 504-0500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250.13e-4(c))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81" w:right="3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6"/>
          <w:szCs w:val="16"/>
          <w:b w:val="1"/>
          <w:bCs w:val="1"/>
          <w:color w:val="auto"/>
        </w:rPr>
        <w:t>Completion of Acquisition or Disposition of Assets.</w:t>
      </w:r>
    </w:p>
    <w:p>
      <w:pPr>
        <w:spacing w:after="0" w:line="9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On May 16, 2011, Amerigon Incorporated (“Amerigon”), through its wholly-owned subsidiary, Amerigon Europe GmbH (“Amerigon Europe”), completed the acquisition of a majority interest in W.E.T. Automotive Systems AG, a German company (“W.E.T.”). A total of 2,316,175 shares, representing 76.19% of the outstanding voting stock of W.E.T., was tendered to Amerigon in response to Amerigon’s previously announced offer of EUR 40 per share. Included among those shares tendered were an aggregate of 2,297,663 shares in W.E.T. (the “Committed Shares”) held by Indigo Capital LLP, in its capacity as Manager of Indigo Capital IV LP and in its capacity as Manager of ICWET LP (“Indigo”), and Industrie-Beteiligungs-Gesellschaft mbH (“IBG”). Pursuant to a Share Sale and Purchase Agreement by and among Amerigon, Indigo and IBG dated February 28, 2011 (the “SPA”), Indigo and IBG agreed to sell the Committed Shares to Amerigon either directly or by tendering such shares in response to Amerigon’s tender offer. Amerigon subsequently requested that the Committed Shares be tendered into such tender offer. Consequently, the Committed Shares were among the total shares acquired by Amerigon on May 16, 2011 at EUR 40 per share.</w:t>
      </w:r>
    </w:p>
    <w:p>
      <w:pPr>
        <w:spacing w:after="0" w:line="11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Business Combination Agreement between Amerigon and W.E.T. executed on February 28, 2011 (the “BCA” and, together with the SPA, the “Acquisition Agreements”) governs certain aspects of the relationship between Amerigon and W.E.T. Copies of the Acquisition Agreements were previously filed as exhibits to Amerigon’s Current Report on Form 8-K filed with the Securities and Exchange Commission (the “SEC”) on February 28, 2011.</w:t>
      </w:r>
    </w:p>
    <w:p>
      <w:pPr>
        <w:spacing w:after="0" w:line="132"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The total purchase price paid by Amerigon for the 76.19% interest in W.E.T. acquired on May 16, 2011 was approximately EUR 92.6 million. Funds used to consummate the acquisition of such shares consisted of cash on hand and proceeds from (i) Amerigon’s issuance of its Series C 8% Convertible Preferred Stock on March 31, 2011 (as disclosed in Amerigon’s Current Reports on Form 8-K filed with the SEC on March 31, 2011 and April 1, 2011), and (ii) a Credit Agreement with Bank of America, N.A., as Administrative Agent, Swing Line Lender and L/C Issuer, and Merrill Lynch, Pierce, Fenner &amp; Smith Incorporated, as sole lead arranger and sole book manager (as disclosed in Amerigon’s Current Report on Form 8-K filed with the SEC on March 31, 2011).</w:t>
      </w:r>
    </w:p>
    <w:p>
      <w:pPr>
        <w:spacing w:after="0" w:line="10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Shareholders of W.E.T. that did not tender their shares in the initial phase of the Amerigon’s tender offer have an additional period to tender their shares which terminates on May 26, 2011. The acquisition of any shares tendered during this additional period is expected to be completed at the beginning of June 2011.</w:t>
      </w:r>
    </w:p>
    <w:p>
      <w:pPr>
        <w:spacing w:after="0" w:line="13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description of the above-described acquisition and related documentation contained in this Section 2, Item 2.01 does not purport to be complete and is qualified in its entirety by reference to Amerigon’s Current Reports on Form 8-K filed with the SEC on February 28, 2011, March 30, 2011 March 31, 2011 and April 1, 2011, all of which are incorporated herein by reference.</w:t>
      </w:r>
    </w:p>
    <w:p>
      <w:pPr>
        <w:sectPr>
          <w:pgSz w:w="11900" w:h="16838" w:orient="portrait"/>
          <w:cols w:equalWidth="0" w:num="1">
            <w:col w:w="11400"/>
          </w:cols>
          <w:pgMar w:left="240" w:top="272" w:right="2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Events</w:t>
      </w:r>
    </w:p>
    <w:p>
      <w:pPr>
        <w:spacing w:after="0" w:line="200" w:lineRule="exact"/>
        <w:rPr>
          <w:sz w:val="20"/>
          <w:szCs w:val="20"/>
          <w:color w:val="auto"/>
        </w:rPr>
      </w:pPr>
    </w:p>
    <w:p>
      <w:pPr>
        <w:sectPr>
          <w:pgSz w:w="11900" w:h="16838" w:orient="portrait"/>
          <w:cols w:equalWidth="0" w:num="2">
            <w:col w:w="680" w:space="360"/>
            <w:col w:w="10360"/>
          </w:cols>
          <w:pgMar w:left="240" w:top="272" w:right="259" w:bottom="1440" w:gutter="0" w:footer="0" w:header="0"/>
          <w:type w:val="continuous"/>
        </w:sectPr>
      </w:pPr>
    </w:p>
    <w:p>
      <w:pPr>
        <w:spacing w:after="0" w:line="1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ectPr>
          <w:pgSz w:w="11900" w:h="16838" w:orient="portrait"/>
          <w:cols w:equalWidth="0" w:num="1">
            <w:col w:w="11400"/>
          </w:cols>
          <w:pgMar w:left="240" w:top="272" w:right="259" w:bottom="1440" w:gutter="0" w:footer="0" w:header="0"/>
          <w:type w:val="continuous"/>
        </w:sectPr>
      </w:pPr>
    </w:p>
    <w:p>
      <w:pPr>
        <w:spacing w:after="0" w:line="92"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On May 16, 2011, Amerigon issued a press release announcing that Amerigon, through its subsidiary Amerigon Europe, completed the acquisition of a majority interest in W.E.T. A copy of this press release is furnished herewith as Exhibit 99.1 to this Current Report on Form 8-K and is incorporated herein by reference. The information in this Section 8, Item 8.01 and the referenced</w:t>
      </w:r>
    </w:p>
    <w:p>
      <w:pPr>
        <w:sectPr>
          <w:pgSz w:w="11900" w:h="16838" w:orient="portrait"/>
          <w:cols w:equalWidth="0" w:num="1">
            <w:col w:w="11400"/>
          </w:cols>
          <w:pgMar w:left="240" w:top="272" w:right="259" w:bottom="1440" w:gutter="0" w:footer="0" w:header="0"/>
          <w:type w:val="continuous"/>
        </w:sectPr>
      </w:pPr>
    </w:p>
    <w:bookmarkStart w:id="2" w:name="page3"/>
    <w:bookmarkEnd w:id="2"/>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shall not be deemed filed for purposes of Section 18 of the Securities Act of 1934, nor shall they be deemed incorporated by reference in any filing under the Securities Act of 1933, except as shall be expressly stated by specific reference in such filing.</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of business acquired</w:t>
      </w:r>
    </w:p>
    <w:p>
      <w:pPr>
        <w:spacing w:after="0" w:line="9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financial statements required by this item are not included with this initial report. The required financial statements will be filed by amendment as soon as practicable, but not later than 71 days after the date this Current Report on Form 8-K was required to be filed.</w:t>
      </w:r>
    </w:p>
    <w:p>
      <w:pPr>
        <w:spacing w:after="0" w:line="158"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pro forma financial statements required by this item are not included with this initial report. The required pro forma financial statements will be filed by amendment as soon as practicable, but not later than 71 days after the date this Current Report on Form 8-K was required to be filed.</w:t>
      </w:r>
    </w:p>
    <w:p>
      <w:pPr>
        <w:spacing w:after="0" w:line="15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Applicable]</w:t>
      </w:r>
    </w:p>
    <w:p>
      <w:pPr>
        <w:spacing w:after="0" w:line="21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ind w:left="680"/>
              <w:spacing w:after="0" w:line="195" w:lineRule="exact"/>
              <w:rPr>
                <w:sz w:val="20"/>
                <w:szCs w:val="20"/>
                <w:color w:val="auto"/>
              </w:rPr>
            </w:pPr>
            <w:r>
              <w:rPr>
                <w:rFonts w:ascii="Times New Roman" w:cs="Times New Roman" w:eastAsia="Times New Roman" w:hAnsi="Times New Roman"/>
                <w:sz w:val="18"/>
                <w:szCs w:val="18"/>
                <w:color w:val="auto"/>
                <w:w w:val="88"/>
              </w:rPr>
              <w:t>10.1</w:t>
            </w:r>
          </w:p>
        </w:tc>
        <w:tc>
          <w:tcPr>
            <w:tcW w:w="1240" w:type="dxa"/>
            <w:vAlign w:val="bottom"/>
          </w:tcPr>
          <w:p>
            <w:pPr>
              <w:spacing w:after="0"/>
              <w:rPr>
                <w:sz w:val="16"/>
                <w:szCs w:val="16"/>
                <w:color w:val="auto"/>
              </w:rPr>
            </w:pPr>
          </w:p>
        </w:tc>
        <w:tc>
          <w:tcPr>
            <w:tcW w:w="91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 Sale and Purchase Agreement, dated February 28, 2011, by and among Indigo Capital IV LP, ICWET LP and Industrie-</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Beteiligungs-Gesellschaft mbH, Amerigon Incorporated, Amerigon Europe GmbH and TMF Deutschland AG. Previously filed as</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 to the registrant’s Current Report on Form 8-K dated February 28, 2011, filed with the SEC on February 28, 2011,</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is incorporated herein by reference.</w:t>
            </w:r>
          </w:p>
        </w:tc>
      </w:tr>
      <w:tr>
        <w:trPr>
          <w:trHeight w:val="216"/>
        </w:trPr>
        <w:tc>
          <w:tcPr>
            <w:tcW w:w="22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10.2</w:t>
            </w: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 Agreement, dated February 28, 2011, by and between W.E.T. Automotive Systems AG, Amerigon</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Incorporated and Amerigon Europe GmbH. Previously filed as Exhibit 10.2 to the registrant’s Current Report on Form 8-K dated</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2011, filed with the SEC on February 28, 2011, and is incorporated herein by reference.</w:t>
            </w:r>
          </w:p>
        </w:tc>
      </w:tr>
      <w:tr>
        <w:trPr>
          <w:trHeight w:val="216"/>
        </w:trPr>
        <w:tc>
          <w:tcPr>
            <w:tcW w:w="22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99.1</w:t>
            </w: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Company News Release, dated May 16, 2011, announcing that Amerigon Incorproated, through its subsidiary Amerigon Europe</w:t>
            </w: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GmbH, completed the acquisition of a majority interest in W.E.T. Automotive Systems AG.</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AMERIGON INCORPORATED</w:t>
            </w:r>
          </w:p>
        </w:tc>
      </w:tr>
      <w:tr>
        <w:trPr>
          <w:trHeight w:val="43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2011</w:t>
            </w:r>
          </w:p>
        </w:tc>
        <w:tc>
          <w:tcPr>
            <w:tcW w:w="25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2"/>
              </w:rPr>
              <w:t>By:</w:t>
            </w:r>
          </w:p>
        </w:tc>
        <w:tc>
          <w:tcPr>
            <w:tcW w:w="52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BARRY G. STEELE</w:t>
            </w:r>
          </w:p>
        </w:tc>
      </w:tr>
      <w:tr>
        <w:trPr>
          <w:trHeight w:val="196"/>
        </w:trPr>
        <w:tc>
          <w:tcPr>
            <w:tcW w:w="3660" w:type="dxa"/>
            <w:vAlign w:val="bottom"/>
          </w:tcPr>
          <w:p>
            <w:pPr>
              <w:spacing w:after="0"/>
              <w:rPr>
                <w:sz w:val="17"/>
                <w:szCs w:val="17"/>
                <w:color w:val="auto"/>
              </w:rPr>
            </w:pPr>
          </w:p>
        </w:tc>
        <w:tc>
          <w:tcPr>
            <w:tcW w:w="7760" w:type="dxa"/>
            <w:vAlign w:val="bottom"/>
            <w:gridSpan w:val="2"/>
          </w:tcPr>
          <w:p>
            <w:pPr>
              <w:ind w:left="2260"/>
              <w:spacing w:after="0" w:line="196" w:lineRule="exact"/>
              <w:rPr>
                <w:sz w:val="20"/>
                <w:szCs w:val="20"/>
                <w:color w:val="auto"/>
              </w:rPr>
            </w:pPr>
            <w:r>
              <w:rPr>
                <w:rFonts w:ascii="Times New Roman" w:cs="Times New Roman" w:eastAsia="Times New Roman" w:hAnsi="Times New Roman"/>
                <w:sz w:val="18"/>
                <w:szCs w:val="18"/>
                <w:color w:val="auto"/>
              </w:rPr>
              <w:t>Barry G. Steele,</w:t>
            </w:r>
          </w:p>
        </w:tc>
      </w:tr>
      <w:tr>
        <w:trPr>
          <w:trHeight w:val="228"/>
        </w:trPr>
        <w:tc>
          <w:tcPr>
            <w:tcW w:w="3660" w:type="dxa"/>
            <w:vAlign w:val="bottom"/>
          </w:tcPr>
          <w:p>
            <w:pPr>
              <w:spacing w:after="0"/>
              <w:rPr>
                <w:sz w:val="19"/>
                <w:szCs w:val="19"/>
                <w:color w:val="auto"/>
              </w:rPr>
            </w:pPr>
          </w:p>
        </w:tc>
        <w:tc>
          <w:tcPr>
            <w:tcW w:w="77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272"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1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67"/>
        </w:trPr>
        <w:tc>
          <w:tcPr>
            <w:tcW w:w="2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ind w:left="680"/>
              <w:spacing w:after="0" w:line="195" w:lineRule="exact"/>
              <w:rPr>
                <w:sz w:val="20"/>
                <w:szCs w:val="20"/>
                <w:color w:val="auto"/>
              </w:rPr>
            </w:pPr>
            <w:r>
              <w:rPr>
                <w:rFonts w:ascii="Times New Roman" w:cs="Times New Roman" w:eastAsia="Times New Roman" w:hAnsi="Times New Roman"/>
                <w:sz w:val="18"/>
                <w:szCs w:val="18"/>
                <w:color w:val="auto"/>
                <w:w w:val="88"/>
              </w:rPr>
              <w:t>10.1</w:t>
            </w:r>
          </w:p>
        </w:tc>
        <w:tc>
          <w:tcPr>
            <w:tcW w:w="1240" w:type="dxa"/>
            <w:vAlign w:val="bottom"/>
          </w:tcPr>
          <w:p>
            <w:pPr>
              <w:spacing w:after="0"/>
              <w:rPr>
                <w:sz w:val="16"/>
                <w:szCs w:val="16"/>
                <w:color w:val="auto"/>
              </w:rPr>
            </w:pPr>
          </w:p>
        </w:tc>
        <w:tc>
          <w:tcPr>
            <w:tcW w:w="91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 Sale and Purchase Agreement, dated February 28, 2011, by and among Indigo Capital IV LP, ICWET LP and Industrie-</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Beteiligungs-Gesellschaft mbH, Amerigon Incorporated, Amerigon Europe GmbH and TMF Deutschland AG. Previously filed as</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 to the registrant’s Current Report on Form 8-K dated February 28, 2011, filed with the SEC on February 28, 2011,</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is incorporated herein by reference.</w:t>
            </w:r>
          </w:p>
        </w:tc>
      </w:tr>
      <w:tr>
        <w:trPr>
          <w:trHeight w:val="216"/>
        </w:trPr>
        <w:tc>
          <w:tcPr>
            <w:tcW w:w="22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10.2</w:t>
            </w: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 Agreement, dated February 28, 2011, by and between W.E.T. Automotive Systems AG, Amerigon</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Incorporated and Amerigon Europe GmbH. Previously filed as Exhibit 10.2 to the registrant’s Current Report on Form 8-K dated</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2011, filed with the SEC on February 28, 2011, and is incorporated herein by reference.</w:t>
            </w:r>
          </w:p>
        </w:tc>
      </w:tr>
      <w:tr>
        <w:trPr>
          <w:trHeight w:val="216"/>
        </w:trPr>
        <w:tc>
          <w:tcPr>
            <w:tcW w:w="22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99.1</w:t>
            </w: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Company News Release, dated May 16, 2011, announcing that Amerigon Incorporated, through its subsidiary Amerigon Europe</w:t>
            </w: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GmbH, completed the acquisition of a majority interest in W.E.T. Automotive Systems AG.</w:t>
            </w: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105" w:lineRule="exact"/>
        <w:rPr>
          <w:sz w:val="20"/>
          <w:szCs w:val="20"/>
          <w:color w:val="auto"/>
        </w:rPr>
      </w:pPr>
    </w:p>
    <w:p>
      <w:pPr>
        <w:ind w:right="5600"/>
        <w:spacing w:after="0" w:line="386" w:lineRule="auto"/>
        <w:rPr>
          <w:sz w:val="20"/>
          <w:szCs w:val="20"/>
          <w:color w:val="auto"/>
        </w:rPr>
      </w:pPr>
      <w:r>
        <w:rPr>
          <w:sz w:val="1"/>
          <w:szCs w:val="1"/>
          <w:color w:val="auto"/>
        </w:rPr>
        <w:drawing>
          <wp:inline distT="0" distB="0" distL="0" distR="0">
            <wp:extent cx="1998345" cy="3346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8345" cy="334645"/>
                    </a:xfrm>
                    <a:prstGeom prst="rect">
                      <a:avLst/>
                    </a:prstGeom>
                    <a:noFill/>
                    <a:ln>
                      <a:noFill/>
                    </a:ln>
                  </pic:spPr>
                </pic:pic>
              </a:graphicData>
            </a:graphic>
          </wp:inline>
        </w:drawing>
      </w:r>
      <w:r>
        <w:rPr>
          <w:rFonts w:ascii="Times New Roman" w:cs="Times New Roman" w:eastAsia="Times New Roman" w:hAnsi="Times New Roman"/>
          <w:sz w:val="18"/>
          <w:szCs w:val="18"/>
          <w:b w:val="1"/>
          <w:bCs w:val="1"/>
          <w:i w:val="1"/>
          <w:iCs w:val="1"/>
          <w:color w:val="auto"/>
        </w:rPr>
        <w:t xml:space="preserve"> Advanced Thermoelectric Solutions </w:t>
      </w:r>
      <w:r>
        <w:rPr>
          <w:rFonts w:ascii="Times New Roman" w:cs="Times New Roman" w:eastAsia="Times New Roman" w:hAnsi="Times New Roman"/>
          <w:sz w:val="18"/>
          <w:szCs w:val="18"/>
          <w:u w:val="single" w:color="auto"/>
          <w:color w:val="auto"/>
        </w:rPr>
        <w:t>NEWS RELEASE for May 16, 2011 at 8:00 AM EDT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Allen &amp; Caron Inc</w:t>
            </w:r>
          </w:p>
        </w:tc>
      </w:tr>
      <w:tr>
        <w:trPr>
          <w:trHeight w:val="216"/>
        </w:trPr>
        <w:tc>
          <w:tcPr>
            <w:tcW w:w="9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Jill Bertotti (investors)</w:t>
            </w:r>
          </w:p>
        </w:tc>
      </w:tr>
      <w:tr>
        <w:trPr>
          <w:trHeight w:val="190"/>
        </w:trPr>
        <w:tc>
          <w:tcPr>
            <w:tcW w:w="920" w:type="dxa"/>
            <w:vAlign w:val="bottom"/>
          </w:tcPr>
          <w:p>
            <w:pPr>
              <w:spacing w:after="0"/>
              <w:rPr>
                <w:sz w:val="16"/>
                <w:szCs w:val="16"/>
                <w:color w:val="auto"/>
              </w:rPr>
            </w:pPr>
          </w:p>
        </w:tc>
        <w:tc>
          <w:tcPr>
            <w:tcW w:w="160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auto"/>
              </w:rPr>
              <w:t>jill@allencaron.com</w:t>
            </w:r>
          </w:p>
        </w:tc>
      </w:tr>
      <w:tr>
        <w:trPr>
          <w:trHeight w:val="222"/>
        </w:trPr>
        <w:tc>
          <w:tcPr>
            <w:tcW w:w="92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Len Hall (media)</w:t>
            </w:r>
          </w:p>
        </w:tc>
        <w:tc>
          <w:tcPr>
            <w:tcW w:w="160" w:type="dxa"/>
            <w:vAlign w:val="bottom"/>
            <w:gridSpan w:val="2"/>
          </w:tcPr>
          <w:p>
            <w:pPr>
              <w:spacing w:after="0"/>
              <w:rPr>
                <w:sz w:val="19"/>
                <w:szCs w:val="19"/>
                <w:color w:val="auto"/>
              </w:rPr>
            </w:pPr>
          </w:p>
        </w:tc>
      </w:tr>
      <w:tr>
        <w:trPr>
          <w:trHeight w:val="190"/>
        </w:trPr>
        <w:tc>
          <w:tcPr>
            <w:tcW w:w="920" w:type="dxa"/>
            <w:vAlign w:val="bottom"/>
          </w:tcPr>
          <w:p>
            <w:pPr>
              <w:spacing w:after="0"/>
              <w:rPr>
                <w:sz w:val="16"/>
                <w:szCs w:val="16"/>
                <w:color w:val="auto"/>
              </w:rPr>
            </w:pPr>
          </w:p>
        </w:tc>
        <w:tc>
          <w:tcPr>
            <w:tcW w:w="160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auto"/>
              </w:rPr>
              <w:t>len@allencaron.com</w:t>
            </w:r>
          </w:p>
        </w:tc>
      </w:tr>
      <w:tr>
        <w:trPr>
          <w:trHeight w:val="235"/>
        </w:trPr>
        <w:tc>
          <w:tcPr>
            <w:tcW w:w="9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(949) 474-4300</w:t>
            </w: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AMERIGON ANNOUNCES COMPLETION OF ACQUISITION OF A MAJORITY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IN W.E.T. AUTOMOTIVE SYSTEMS</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NORTHVILLE, Mich. and ODELZHAUSEN, Germany (May 16, 2011) . . . Amerigon Incorporated (NASDAQ-GS: ARGN) today announced that it has, through its wholly-owned subsidiary, Amerigon Europe GmbH, completed the previously announced acquisition of a majority interest in W.E.T. Automotive Systems AG, a German company (“W.E.T.”). A total of 2,316,175 shares, representing 76.19 percent of the outstanding voting stock of W.E.T., was tendered to Amerigon in response to Amerigon’s offer of EUR 40 per share.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Shareholders of W.E.T. who have not tendered their shares have an additional period, ending on May 26, 2011, to accept Amerigon’s tender offer. The acquisition of any shares tendered during this additional period is expected to be completed at the beginning of June 2011.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Amerigon</w:t>
      </w:r>
    </w:p>
    <w:p>
      <w:pPr>
        <w:spacing w:after="0" w:line="92"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Amerigon (NASDAQ-GS: ARGN) develops products based on its advanced, proprietary, efficient thermoelectric (TE) technologies for a wide range of global markets and heating and cooling applications. The Company’s current principal product is its proprietary Climate Control Seat</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(CCS</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system, a solid-state, TE-based system that permits drivers and passengers of vehicles to individually and actively control the heating and cooling of their respective seats to ensure maximum year-round comfort. CCS uses no CFCs or other environmentally sensitive coolants. Amerigon maintains sales and technical support centers in Southern California, Southeast Michigan, Japan, Germany, England and Korea. For more information, visit the Company’s website at </w:t>
      </w:r>
      <w:r>
        <w:rPr>
          <w:rFonts w:ascii="Times New Roman" w:cs="Times New Roman" w:eastAsia="Times New Roman" w:hAnsi="Times New Roman"/>
          <w:sz w:val="16"/>
          <w:szCs w:val="16"/>
          <w:u w:val="single" w:color="auto"/>
          <w:color w:val="auto"/>
        </w:rPr>
        <w:t>www.amerigon.com.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W.E.T.</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W.E.T. is a global leader in the automotive industry, with a particular focus on thermal seat comfort. Established in 1968 and headquartered in Odelzhausen, near Munich, Germany, the company operates facilities in Europe, North America and Asia. For more information, please visit W.E.T.’s website at </w:t>
      </w:r>
      <w:r>
        <w:rPr>
          <w:rFonts w:ascii="Times New Roman" w:cs="Times New Roman" w:eastAsia="Times New Roman" w:hAnsi="Times New Roman"/>
          <w:sz w:val="18"/>
          <w:szCs w:val="18"/>
          <w:u w:val="single" w:color="auto"/>
          <w:color w:val="auto"/>
        </w:rPr>
        <w:t>www.wet-group.com</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Certain matters discussed in this release are forward-looking statements that involve risks and uncertainties, and actual results may be different. Important factors that could cause the Company’s actual results to differ materially from its expectations in this release are risks that sales may not significantly increase, additional financing, if necessary, may not be available, new competitors may arise and adverse conditions in the automotive industry may negatively affect its results. The liquidity and trading price of its common stock may be negatively affected by these and other factors. Please also refer to Amerigon’s Securities and Exchange Commission filings and reports, including, but not limited to, its Form 10-Q for the period ended March 31, 2011, and its Form 10-K for the year ended December 31, 2010.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2019-12-14T00:28:08Z</dcterms:created>
  <dcterms:modified xsi:type="dcterms:W3CDTF">2019-12-14T00:28:08Z</dcterms:modified>
</cp:coreProperties>
</file>