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MASCARENAS PAUL ANTHONY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28875 CABOT DRIVE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NOVI</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48377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Gentherm Inc</w:t>
              </w:r>
            </w:hyperlink>
            <w:r>
              <w:rPr/>
              <w:t xml:space="preserve"> [ </w:t>
            </w:r>
            <w:r>
              <w:rPr>
                <w:rFonts w:ascii="Times;serif" w:hAnsi="Times;serif"/>
                <w:color w:val="0000FF"/>
                <w:sz w:val="24"/>
                <w:shd w:fill="FFFFFF" w:val="clear"/>
              </w:rPr>
              <w:t>THRM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attached.</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Swan,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rFonts w:ascii="Times New Roman" w:hAnsi="Times New Roman"/>
          <w:color w:val="000000"/>
          <w:sz w:val="20"/>
        </w:rPr>
      </w:pPr>
      <w:bookmarkStart w:id="2" w:name="thrm-ex24.htm"/>
      <w:bookmarkStart w:id="3" w:name="ksthrmex24"/>
      <w:bookmarkEnd w:id="2"/>
      <w:bookmarkEnd w:id="3"/>
      <w:r>
        <w:rPr>
          <w:rFonts w:ascii="Times New Roman" w:hAnsi="Times New Roman"/>
          <w:color w:val="000000"/>
          <w:sz w:val="20"/>
        </w:rPr>
        <w:t>POWER OF ATTORNEY</w:t>
      </w:r>
      <w:r>
        <w:br w:type="page"/>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Wayne Kauffman, Tamara Spennachio, Garrett Packer, Sarah Meinel, or Stephanie Swan, or any of them signing individually, and with full power of substitution, the undersigned's true and lawful attorney-in-fact and in the undersigned's name, place and stead, in the undersigned’s capacity as an officer, director or stockholder of Gentherm Incorporated (the “Company”) to: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pStyle w:val="TextBody"/>
        <w:bidi w:val="0"/>
        <w:jc w:val="left"/>
        <w:rPr>
          <w:rFonts w:ascii="Times New Roman" w:hAnsi="Times New Roman"/>
          <w:color w:val="000000"/>
          <w:sz w:val="20"/>
        </w:rPr>
      </w:pPr>
      <w:r>
        <w:rPr>
          <w:rFonts w:ascii="Times New Roman" w:hAnsi="Times New Roman"/>
          <w:color w:val="000000"/>
          <w:sz w:val="20"/>
        </w:rPr>
        <w:t>(2) prepare, execute and submit and file with the SEC any and all forms, schedules and other documents (including any amendments thereto) the undersigned is required to file with the SEC, or which such attorney-in-fact considers it advisable for the undersigned to file with the SEC, under Section 13 or Section 16 of the Securities Exchange Act of 1934 (the “Exchange Act”) or any rule or regulation thereunder, or under Rule 144 under the Securities Act of 1933, as amended, including Forms 3, 4 and 5, Schedules 13D and 13G, and Forms 144 (all such forms, schedules and other documents being referred to herein as “SEC Filings”) and to file submit or otherwise deliver SEC filings to any securities exchange on which the Company’s securities may be listed or traded;</w:t>
      </w:r>
    </w:p>
    <w:p>
      <w:pPr>
        <w:pStyle w:val="TextBody"/>
        <w:bidi w:val="0"/>
        <w:jc w:val="left"/>
        <w:rPr>
          <w:rFonts w:ascii="Times New Roman" w:hAnsi="Times New Roman"/>
          <w:color w:val="000000"/>
          <w:sz w:val="20"/>
        </w:rPr>
      </w:pPr>
      <w:r>
        <w:rPr>
          <w:rFonts w:ascii="Times New Roman" w:hAnsi="Times New Roman"/>
          <w:color w:val="000000"/>
          <w:sz w:val="20"/>
        </w:rPr>
        <w:t>(3) in the case of Wayne Kauffman and Tamara Spennachio, each individually to 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and</w:t>
      </w:r>
    </w:p>
    <w:p>
      <w:pPr>
        <w:pStyle w:val="TextBody"/>
        <w:bidi w:val="0"/>
        <w:jc w:val="left"/>
        <w:rPr>
          <w:rFonts w:ascii="Times New Roman" w:hAnsi="Times New Roman"/>
          <w:color w:val="000000"/>
          <w:sz w:val="20"/>
        </w:rPr>
      </w:pPr>
      <w:r>
        <w:rPr>
          <w:rFonts w:ascii="Times New Roman" w:hAnsi="Times New Roman"/>
          <w:color w:val="000000"/>
          <w:sz w:val="20"/>
        </w:rPr>
        <w:t>(4) in the case of Garrett Packer, Sarah Meinel, and Stephanie Swan, each individually, to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advisable to be done in connection with the foregoing,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SEC Filings with respect to the undersigned's holdings of and transactions in securities issued by the Company, unless earlier revoked by the undersigned in a signed writing delivered to the foregoing attorneys-in-fact. This Power of Attorney revokes all previous powers of attorney with respect to the subject matter of this Power of Attorney.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this 28th day of September,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Paul Mascarenas </w:t>
      </w:r>
    </w:p>
    <w:p>
      <w:pPr>
        <w:pStyle w:val="TextBody"/>
        <w:bidi w:val="0"/>
        <w:jc w:val="left"/>
        <w:rPr>
          <w:rFonts w:ascii="Times New Roman" w:hAnsi="Times New Roman"/>
          <w:color w:val="000000"/>
          <w:sz w:val="20"/>
        </w:rPr>
      </w:pPr>
      <w:r>
        <w:rPr>
          <w:rFonts w:ascii="Times New Roman" w:hAnsi="Times New Roman"/>
          <w:color w:val="000000"/>
          <w:sz w:val="20"/>
        </w:rPr>
        <w:t>Paul A. Mascarenas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25756" TargetMode="External"/><Relationship Id="rId3" Type="http://schemas.openxmlformats.org/officeDocument/2006/relationships/hyperlink" Target="http://www.sec.gov/cgi-bin/browse-edgar?action=getcompany&amp;CIK=000090312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1089</Words>
  <Characters>5970</Characters>
  <CharactersWithSpaces>7024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