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64038ds8.htm"/>
      <w:bookmarkStart w:id="1" w:name="ksd164038ds8"/>
      <w:bookmarkEnd w:id="0"/>
      <w:bookmarkEnd w:id="1"/>
      <w:r>
        <w:rPr>
          <w:rFonts w:ascii="Times New Roman" w:hAnsi="Times New Roman"/>
          <w:b/>
          <w:sz w:val="20"/>
        </w:rPr>
        <w:t xml:space="preserve">As filed with the Securities and Exchange Commission on June 2, 2026 </w:t>
      </w:r>
    </w:p>
    <w:p>
      <w:pPr>
        <w:pStyle w:val="TextBody"/>
        <w:bidi w:val="0"/>
        <w:spacing w:before="24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Michigan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95-4318554</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28875 Cabot Drive,</w:t>
            </w:r>
          </w:p>
          <w:p>
            <w:pPr>
              <w:pStyle w:val="TableContents"/>
              <w:bidi w:val="0"/>
              <w:spacing w:before="0" w:after="20"/>
              <w:jc w:val="center"/>
              <w:rPr>
                <w:rFonts w:ascii="Times New Roman" w:hAnsi="Times New Roman"/>
                <w:b/>
                <w:sz w:val="20"/>
              </w:rPr>
            </w:pPr>
            <w:r>
              <w:rPr>
                <w:rFonts w:ascii="Times New Roman" w:hAnsi="Times New Roman"/>
                <w:b/>
                <w:sz w:val="20"/>
              </w:rPr>
              <w:t>Novi, MI</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48377</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2023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160" w:after="0"/>
        <w:jc w:val="center"/>
        <w:rPr>
          <w:rFonts w:ascii="Times New Roman" w:hAnsi="Times New Roman"/>
          <w:b/>
          <w:sz w:val="20"/>
        </w:rPr>
      </w:pPr>
      <w:r>
        <w:rPr>
          <w:rFonts w:ascii="Times New Roman" w:hAnsi="Times New Roman"/>
          <w:b/>
          <w:sz w:val="20"/>
        </w:rPr>
        <w:t xml:space="preserve">William Presley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28875 Cabot Drive </w:t>
      </w:r>
    </w:p>
    <w:p>
      <w:pPr>
        <w:pStyle w:val="TextBody"/>
        <w:bidi w:val="0"/>
        <w:spacing w:before="0" w:after="0"/>
        <w:jc w:val="center"/>
        <w:rPr>
          <w:rFonts w:ascii="Times New Roman" w:hAnsi="Times New Roman"/>
          <w:b/>
          <w:sz w:val="20"/>
        </w:rPr>
      </w:pPr>
      <w:r>
        <w:rPr>
          <w:rFonts w:ascii="Times New Roman" w:hAnsi="Times New Roman"/>
          <w:b/>
          <w:sz w:val="20"/>
        </w:rPr>
        <w:t xml:space="preserve">Novi, MI 48377 </w:t>
      </w:r>
    </w:p>
    <w:p>
      <w:pPr>
        <w:pStyle w:val="TextBody"/>
        <w:bidi w:val="0"/>
        <w:spacing w:before="0" w:after="0"/>
        <w:jc w:val="center"/>
        <w:rPr>
          <w:rFonts w:ascii="Times New Roman" w:hAnsi="Times New Roman"/>
          <w:b/>
          <w:sz w:val="20"/>
        </w:rPr>
      </w:pPr>
      <w:r>
        <w:rPr>
          <w:rFonts w:ascii="Times New Roman" w:hAnsi="Times New Roman"/>
          <w:b/>
          <w:sz w:val="20"/>
        </w:rPr>
        <w:t xml:space="preserve">(248) 504-0500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i/>
          <w:sz w:val="20"/>
        </w:rPr>
      </w:pPr>
      <w:r>
        <w:rPr>
          <w:rFonts w:ascii="Times New Roman" w:hAnsi="Times New Roman"/>
          <w:b/>
          <w:i/>
          <w:sz w:val="20"/>
        </w:rPr>
        <w:t xml:space="preserve">Copies to: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Wayne Kauffman, Esq.</w:t>
            </w:r>
          </w:p>
          <w:p>
            <w:pPr>
              <w:pStyle w:val="TableContents"/>
              <w:bidi w:val="0"/>
              <w:spacing w:before="0" w:after="0"/>
              <w:jc w:val="center"/>
              <w:rPr>
                <w:rFonts w:ascii="Times New Roman" w:hAnsi="Times New Roman"/>
                <w:b/>
                <w:sz w:val="20"/>
              </w:rPr>
            </w:pPr>
            <w:r>
              <w:rPr>
                <w:rFonts w:ascii="Times New Roman" w:hAnsi="Times New Roman"/>
                <w:b/>
                <w:sz w:val="20"/>
              </w:rPr>
              <w:t>Senior Vice President, General Counsel and Secretary</w:t>
            </w:r>
          </w:p>
          <w:p>
            <w:pPr>
              <w:pStyle w:val="TableContents"/>
              <w:bidi w:val="0"/>
              <w:spacing w:before="0" w:after="0"/>
              <w:jc w:val="center"/>
              <w:rPr>
                <w:rFonts w:ascii="Times New Roman" w:hAnsi="Times New Roman"/>
                <w:b/>
                <w:sz w:val="20"/>
              </w:rPr>
            </w:pPr>
            <w:r>
              <w:rPr>
                <w:rFonts w:ascii="Times New Roman" w:hAnsi="Times New Roman"/>
                <w:b/>
                <w:sz w:val="20"/>
              </w:rPr>
              <w:t>Gentherm Incorporated</w:t>
            </w:r>
          </w:p>
          <w:p>
            <w:pPr>
              <w:pStyle w:val="TableContents"/>
              <w:bidi w:val="0"/>
              <w:spacing w:before="0" w:after="0"/>
              <w:jc w:val="center"/>
              <w:rPr>
                <w:rFonts w:ascii="Times New Roman" w:hAnsi="Times New Roman"/>
                <w:b/>
                <w:sz w:val="20"/>
              </w:rPr>
            </w:pPr>
            <w:r>
              <w:rPr>
                <w:rFonts w:ascii="Times New Roman" w:hAnsi="Times New Roman"/>
                <w:b/>
                <w:sz w:val="20"/>
              </w:rPr>
              <w:t>28875 Cabot Drive</w:t>
            </w:r>
          </w:p>
          <w:p>
            <w:pPr>
              <w:pStyle w:val="TableContents"/>
              <w:bidi w:val="0"/>
              <w:spacing w:before="0" w:after="0"/>
              <w:jc w:val="center"/>
              <w:rPr>
                <w:rFonts w:ascii="Times New Roman" w:hAnsi="Times New Roman"/>
                <w:b/>
                <w:sz w:val="20"/>
              </w:rPr>
            </w:pPr>
            <w:r>
              <w:rPr>
                <w:rFonts w:ascii="Times New Roman" w:hAnsi="Times New Roman"/>
                <w:b/>
                <w:sz w:val="20"/>
              </w:rPr>
              <w:t>Novi, MI 48377</w:t>
            </w:r>
          </w:p>
          <w:p>
            <w:pPr>
              <w:pStyle w:val="TableContents"/>
              <w:bidi w:val="0"/>
              <w:spacing w:before="0" w:after="20"/>
              <w:jc w:val="center"/>
              <w:rPr>
                <w:rFonts w:ascii="Times New Roman" w:hAnsi="Times New Roman"/>
                <w:b/>
                <w:sz w:val="20"/>
              </w:rPr>
            </w:pPr>
            <w:r>
              <w:rPr>
                <w:rFonts w:ascii="Times New Roman" w:hAnsi="Times New Roman"/>
                <w:b/>
                <w:sz w:val="20"/>
              </w:rPr>
              <w:t>(248) 504-0500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Michael S. Ben, Esq.</w:t>
            </w:r>
          </w:p>
          <w:p>
            <w:pPr>
              <w:pStyle w:val="TableContents"/>
              <w:bidi w:val="0"/>
              <w:spacing w:before="0" w:after="0"/>
              <w:jc w:val="center"/>
              <w:rPr>
                <w:rFonts w:ascii="Times New Roman" w:hAnsi="Times New Roman"/>
                <w:b/>
                <w:sz w:val="20"/>
              </w:rPr>
            </w:pPr>
            <w:r>
              <w:rPr>
                <w:rFonts w:ascii="Times New Roman" w:hAnsi="Times New Roman"/>
                <w:b/>
                <w:sz w:val="20"/>
              </w:rPr>
              <w:t>Honigman LLP</w:t>
            </w:r>
          </w:p>
          <w:p>
            <w:pPr>
              <w:pStyle w:val="TableContents"/>
              <w:bidi w:val="0"/>
              <w:spacing w:before="0" w:after="0"/>
              <w:jc w:val="center"/>
              <w:rPr>
                <w:rFonts w:ascii="Times New Roman" w:hAnsi="Times New Roman"/>
                <w:b/>
                <w:sz w:val="20"/>
              </w:rPr>
            </w:pPr>
            <w:r>
              <w:rPr>
                <w:rFonts w:ascii="Times New Roman" w:hAnsi="Times New Roman"/>
                <w:b/>
                <w:sz w:val="20"/>
              </w:rPr>
              <w:t>2290 First National Building</w:t>
            </w:r>
          </w:p>
          <w:p>
            <w:pPr>
              <w:pStyle w:val="TableContents"/>
              <w:bidi w:val="0"/>
              <w:spacing w:before="0" w:after="0"/>
              <w:jc w:val="center"/>
              <w:rPr>
                <w:rFonts w:ascii="Times New Roman" w:hAnsi="Times New Roman"/>
                <w:b/>
                <w:sz w:val="20"/>
              </w:rPr>
            </w:pPr>
            <w:r>
              <w:rPr>
                <w:rFonts w:ascii="Times New Roman" w:hAnsi="Times New Roman"/>
                <w:b/>
                <w:sz w:val="20"/>
              </w:rPr>
              <w:t>660 Woodward Ave.</w:t>
            </w:r>
          </w:p>
          <w:p>
            <w:pPr>
              <w:pStyle w:val="TableContents"/>
              <w:bidi w:val="0"/>
              <w:spacing w:before="0" w:after="0"/>
              <w:jc w:val="center"/>
              <w:rPr>
                <w:rFonts w:ascii="Times New Roman" w:hAnsi="Times New Roman"/>
                <w:b/>
                <w:sz w:val="20"/>
              </w:rPr>
            </w:pPr>
            <w:r>
              <w:rPr>
                <w:rFonts w:ascii="Times New Roman" w:hAnsi="Times New Roman"/>
                <w:b/>
                <w:sz w:val="20"/>
              </w:rPr>
              <w:t>Detroit, Michigan 48226-3506</w:t>
            </w:r>
          </w:p>
          <w:p>
            <w:pPr>
              <w:pStyle w:val="TableContents"/>
              <w:bidi w:val="0"/>
              <w:spacing w:before="0" w:after="20"/>
              <w:jc w:val="center"/>
              <w:rPr>
                <w:rFonts w:ascii="Times New Roman" w:hAnsi="Times New Roman"/>
                <w:b/>
                <w:sz w:val="20"/>
              </w:rPr>
            </w:pPr>
            <w:r>
              <w:rPr>
                <w:rFonts w:ascii="Times New Roman" w:hAnsi="Times New Roman"/>
                <w:b/>
                <w:sz w:val="20"/>
              </w:rPr>
              <w:t>(313) 465-7000</w:t>
            </w:r>
          </w:p>
        </w:tc>
      </w:tr>
    </w:tbl>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May 14, 2026, at the 2026 Annual Meeting of Shareholders of Gentherm Incorporated (the “Registrant”), the Registrant’s shareholders approved an amendment to the Gentherm Incorporated 2023 Equity Incentive Plan (the “2023 Plan”) to increase by 1,700,000 the maximum number of shares of the Registrant’s common stock, no par value (the “Common Stock”) that may be issued pursuant to awards granted under the 2023 Plan, which amendment the Registrant’s Board of Directors (the “Board”) had previously approved, subject to such shareholder approval. The Registrant has prepared this Registration Statement on Form S-8 (the “Registration Statement”) in accordance with the requirements the Securities Act of 1933, as amended (the “Securities Act”), to register the issuance of 1,700,000 shares of Common Stock, which are reserved for issuance to eligible participants upon the vesting or exercise of awards granted under the 2023 Plan, as amended. The Common Stock being registered hereunder is in addition to the 3,730,000 shares of Common Stock registered on the Registrant’s Registration Statement on Form S-8 filed with the Securities and Exchange Commission (the “Commission”) on May 18, 2023 (Commission File No. 333-272056) (the “Prior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relates to securities of the same class as that to which the Prior Registration Statement relates, and is submitted in accordance with General Instruction E to Form S-8 regarding the registration of additional securities. Pursuant to such instruction, the contents of the Prior Registration Statement are incorporated herein by reference and made part of this Registration Statement, except as amended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specified in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plan covered by this Registration Statement as specified by Rule 428(b)(1) under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General Instruction E to Form S-8, the content of the Prior Registration Statement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filed with the Commission by the Registrant also are hereby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the Registrant’s </w:t>
            </w:r>
            <w:hyperlink r:id="rId2">
              <w:r>
                <w:rPr>
                  <w:rStyle w:val="InternetLink"/>
                  <w:rFonts w:ascii="Times New Roman" w:hAnsi="Times New Roman"/>
                  <w:sz w:val="20"/>
                  <w:u w:val="single"/>
                </w:rPr>
                <w:t>Annual Report on Form 10-K for the year ended December 31, 2025</w:t>
              </w:r>
            </w:hyperlink>
            <w:r>
              <w:rPr>
                <w:rFonts w:ascii="Times New Roman" w:hAnsi="Times New Roman"/>
                <w:sz w:val="20"/>
              </w:rPr>
              <w:t xml:space="preserve">, filed with the Commission on February 19, 2026 (including information specifically incorporated by reference therein from the Registrant’s </w:t>
            </w:r>
            <w:hyperlink r:id="rId3">
              <w:r>
                <w:rPr>
                  <w:rStyle w:val="InternetLink"/>
                  <w:rFonts w:ascii="Times New Roman" w:hAnsi="Times New Roman"/>
                  <w:sz w:val="20"/>
                  <w:u w:val="single"/>
                </w:rPr>
                <w:t>Proxy Statement</w:t>
              </w:r>
            </w:hyperlink>
            <w:r>
              <w:rPr>
                <w:rFonts w:ascii="Times New Roman" w:hAnsi="Times New Roman"/>
                <w:sz w:val="20"/>
              </w:rPr>
              <w:t xml:space="preserve"> filed with the Commission on April 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pPr>
            <w:r>
              <w:rPr>
                <w:rFonts w:ascii="Times New Roman" w:hAnsi="Times New Roman"/>
                <w:sz w:val="20"/>
              </w:rPr>
              <w:t xml:space="preserve">the Registrant’s </w:t>
            </w:r>
            <w:hyperlink r:id="rId4">
              <w:r>
                <w:rPr>
                  <w:rStyle w:val="InternetLink"/>
                  <w:rFonts w:ascii="Times New Roman" w:hAnsi="Times New Roman"/>
                  <w:sz w:val="20"/>
                  <w:u w:val="single"/>
                </w:rPr>
                <w:t>Quarterly Report on Form 10-Q for the quarter ended March 31, 2026</w:t>
              </w:r>
            </w:hyperlink>
            <w:r>
              <w:rPr>
                <w:rFonts w:ascii="Times New Roman" w:hAnsi="Times New Roman"/>
                <w:sz w:val="20"/>
              </w:rPr>
              <w:t xml:space="preserve">, filed with the Commission on April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pPr>
            <w:r>
              <w:rPr>
                <w:rFonts w:ascii="Times New Roman" w:hAnsi="Times New Roman"/>
                <w:sz w:val="20"/>
              </w:rPr>
              <w:t xml:space="preserve">the Registrant’s Current Reports on Form 8-K or 8-K/A filed with the SEC on </w:t>
            </w:r>
            <w:hyperlink r:id="rId5">
              <w:r>
                <w:rPr>
                  <w:rStyle w:val="InternetLink"/>
                  <w:rFonts w:ascii="Times New Roman" w:hAnsi="Times New Roman"/>
                  <w:sz w:val="20"/>
                  <w:u w:val="single"/>
                </w:rPr>
                <w:t>January  29, 2026</w:t>
              </w:r>
            </w:hyperlink>
            <w:r>
              <w:rPr>
                <w:rFonts w:ascii="Times New Roman" w:hAnsi="Times New Roman"/>
                <w:sz w:val="20"/>
              </w:rPr>
              <w:t xml:space="preserve">, </w:t>
            </w:r>
            <w:hyperlink r:id="rId6">
              <w:r>
                <w:rPr>
                  <w:rStyle w:val="InternetLink"/>
                  <w:rFonts w:ascii="Times New Roman" w:hAnsi="Times New Roman"/>
                  <w:sz w:val="20"/>
                  <w:u w:val="single"/>
                </w:rPr>
                <w:t>February 27, 2026</w:t>
              </w:r>
            </w:hyperlink>
            <w:r>
              <w:rPr>
                <w:rFonts w:ascii="Times New Roman" w:hAnsi="Times New Roman"/>
                <w:sz w:val="20"/>
              </w:rPr>
              <w:t xml:space="preserve"> (together with the Current Report on Form 8-K/A filed with the Commission on </w:t>
            </w:r>
            <w:hyperlink r:id="rId7">
              <w:r>
                <w:rPr>
                  <w:rStyle w:val="InternetLink"/>
                  <w:rFonts w:ascii="Times New Roman" w:hAnsi="Times New Roman"/>
                  <w:sz w:val="20"/>
                  <w:u w:val="single"/>
                </w:rPr>
                <w:t>April  23, 2026</w:t>
              </w:r>
            </w:hyperlink>
            <w:r>
              <w:rPr>
                <w:rFonts w:ascii="Times New Roman" w:hAnsi="Times New Roman"/>
                <w:sz w:val="20"/>
              </w:rPr>
              <w:t xml:space="preserve">), </w:t>
            </w:r>
            <w:hyperlink r:id="rId8">
              <w:r>
                <w:rPr>
                  <w:rStyle w:val="InternetLink"/>
                  <w:rFonts w:ascii="Times New Roman" w:hAnsi="Times New Roman"/>
                  <w:sz w:val="20"/>
                  <w:u w:val="single"/>
                </w:rPr>
                <w:t>March  17, 2026</w:t>
              </w:r>
            </w:hyperlink>
            <w:r>
              <w:rPr>
                <w:rFonts w:ascii="Times New Roman" w:hAnsi="Times New Roman"/>
                <w:sz w:val="20"/>
              </w:rPr>
              <w:t xml:space="preserve">, </w:t>
            </w:r>
            <w:hyperlink r:id="rId9">
              <w:r>
                <w:rPr>
                  <w:rStyle w:val="InternetLink"/>
                  <w:rFonts w:ascii="Times New Roman" w:hAnsi="Times New Roman"/>
                  <w:sz w:val="20"/>
                  <w:u w:val="single"/>
                </w:rPr>
                <w:t>March  25, 2026</w:t>
              </w:r>
            </w:hyperlink>
            <w:r>
              <w:rPr>
                <w:rFonts w:ascii="Times New Roman" w:hAnsi="Times New Roman"/>
                <w:sz w:val="20"/>
              </w:rPr>
              <w:t xml:space="preserve">, and </w:t>
            </w:r>
            <w:hyperlink r:id="rId10">
              <w:r>
                <w:rPr>
                  <w:rStyle w:val="InternetLink"/>
                  <w:rFonts w:ascii="Times New Roman" w:hAnsi="Times New Roman"/>
                  <w:sz w:val="20"/>
                  <w:u w:val="single"/>
                </w:rPr>
                <w:t>May 19, 2026</w:t>
              </w:r>
            </w:hyperlink>
            <w:r>
              <w:rPr>
                <w:rFonts w:ascii="Times New Roman" w:hAnsi="Times New Roman"/>
                <w:sz w:val="20"/>
              </w:rPr>
              <w:t xml:space="preserve">; and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under the caption “Description of Securities” on pages 37 through 38 of the Prospectus included in the Registrant’s registration statement on Form SB-2 (File No. 33-61702-LA) effective June 10, 1993, as filed with the Commission pursuant to the Securities Act and incorporated by reference into the Registrant’s initial registration statement on Form 8-A filed with the Commission pursuant to the Securities Exchange Act of 1934, as amended (the “Exchange Act”), as amended by the description of the Common Stock contained in </w:t>
            </w:r>
            <w:hyperlink r:id="rId11">
              <w:r>
                <w:rPr>
                  <w:rStyle w:val="InternetLink"/>
                  <w:rFonts w:ascii="Times New Roman" w:hAnsi="Times New Roman"/>
                  <w:sz w:val="20"/>
                  <w:u w:val="single"/>
                </w:rPr>
                <w:t>Exhibit 4</w:t>
              </w:r>
            </w:hyperlink>
            <w:r>
              <w:rPr>
                <w:rFonts w:ascii="Times New Roman" w:hAnsi="Times New Roman"/>
                <w:sz w:val="20"/>
              </w:rPr>
              <w:t xml:space="preserve"> to the Registrant’s Annual Report on Form 10-K for the year ended December 31, 2019, and as further amended by any subsequent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the Registrant subsequently files pursuant to Sections 13(a), 13(c), 14 or 15(d) of the Exchange Act after the filing of this Registration Statement, and prior to the filing of a post-effective amendment that indicates that all securities offered hereby have been sold or which deregisters all securities covered hereby then remaining unsold, are incorporated herein by reference and are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prior statement. Any such statement so modified or superseded shall not be deemed, except as so modified or superseded, to constitute part of this Registration Statement. </w:t>
      </w:r>
    </w:p>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Item 8.Exhibits.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1"/>
        <w:gridCol w:w="426"/>
        <w:gridCol w:w="9208"/>
      </w:tblGrid>
      <w:tr>
        <w:trPr/>
        <w:tc>
          <w:tcPr>
            <w:tcW w:w="571"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9208" w:type="dxa"/>
            <w:tcBorders/>
            <w:vAlign w:val="center"/>
          </w:tcPr>
          <w:p>
            <w:pPr>
              <w:pStyle w:val="TableContents"/>
              <w:bidi w:val="0"/>
              <w:spacing w:before="0" w:after="283"/>
              <w:jc w:val="left"/>
              <w:rPr>
                <w:sz w:val="4"/>
                <w:szCs w:val="4"/>
              </w:rPr>
            </w:pPr>
            <w:r>
              <w:rPr>
                <w:sz w:val="4"/>
                <w:szCs w:val="4"/>
              </w:rPr>
            </w:r>
          </w:p>
        </w:tc>
      </w:tr>
      <w:tr>
        <w:trPr/>
        <w:tc>
          <w:tcPr>
            <w:tcW w:w="57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br/>
              <w:t>No.</w:t>
            </w:r>
          </w:p>
        </w:tc>
        <w:tc>
          <w:tcPr>
            <w:tcW w:w="426" w:type="dxa"/>
            <w:tcBorders/>
            <w:vAlign w:val="bottom"/>
          </w:tcPr>
          <w:p>
            <w:pPr>
              <w:pStyle w:val="TableContents"/>
              <w:bidi w:val="0"/>
              <w:spacing w:before="0" w:after="283"/>
              <w:jc w:val="left"/>
              <w:rPr/>
            </w:pPr>
            <w:r>
              <w:rPr/>
              <w:t>  </w:t>
            </w:r>
          </w:p>
        </w:tc>
        <w:tc>
          <w:tcPr>
            <w:tcW w:w="92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4.1</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r:id="rId12">
              <w:r>
                <w:rPr>
                  <w:rStyle w:val="InternetLink"/>
                </w:rPr>
                <w:t>Second Amended and Restated Articles of Incorporation of Gentherm Incorporated</w:t>
              </w:r>
            </w:hyperlink>
            <w:r>
              <w:rPr/>
              <w:t>, incorporated herein by reference to Exhibit 3.2 to the Registrant’s Current Report on Form 8-K filed with the Commission on March 5, 2018</w:t>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4.2</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r:id="rId13">
              <w:r>
                <w:rPr>
                  <w:rStyle w:val="InternetLink"/>
                </w:rPr>
                <w:t>Amended and Restated Bylaws of Gentherm Incorporated</w:t>
              </w:r>
            </w:hyperlink>
            <w:r>
              <w:rPr/>
              <w:t>, incorporated herein by reference to Exhibit 3.1 to the Registrant’s Current Report on Form 8-K filed with the Commission on May 26, 2016</w:t>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5*</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w:anchor="d164038dex5.htm">
              <w:r>
                <w:rPr>
                  <w:rStyle w:val="InternetLink"/>
                </w:rPr>
                <w:t xml:space="preserve">Opinion of Honigman LLP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23.1*</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w:anchor="d164038dex231.htm">
              <w:r>
                <w:rPr>
                  <w:rStyle w:val="InternetLink"/>
                </w:rPr>
                <w:t xml:space="preserve">Consent of Ernst &amp; Young LLP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23.2*</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w:anchor="d164038dex5.htm">
              <w:r>
                <w:rPr>
                  <w:rStyle w:val="InternetLink"/>
                </w:rPr>
                <w:t xml:space="preserve">Consent of Honigman LLP (included in its opinion filed as Exhibit 5 to this Registration Statement)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24*</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w:anchor="sig">
              <w:r>
                <w:rPr>
                  <w:rStyle w:val="InternetLink"/>
                </w:rPr>
                <w:t xml:space="preserve">Power of Attorney (included after the signature of the Registrant contained in this Registration Statement)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99.1</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r:id="rId14">
              <w:r>
                <w:rPr>
                  <w:rStyle w:val="InternetLink"/>
                </w:rPr>
                <w:t>Gentherm Incorporated 2023 Equity Incentive Plan, effective as of May 18, 2023</w:t>
              </w:r>
            </w:hyperlink>
            <w:r>
              <w:rPr/>
              <w:t>, incorporated herein by reference to Exhibit 10.1 to the Registrant’s Current Report on Form 8-K filed with the Commission on May 18, 2023</w:t>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99.2</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r:id="rId15">
              <w:r>
                <w:rPr>
                  <w:rStyle w:val="InternetLink"/>
                </w:rPr>
                <w:t>First Amendment to Gentherm Incorporated 2023 Equity Incentive Plan, effective as of May 14, 2026</w:t>
              </w:r>
            </w:hyperlink>
            <w:r>
              <w:rPr/>
              <w:t>, incorporated herein by reference to Exhibit 10.1 to the Registrant’s Current Report on Form 8-K filed with the Commission on May 19, 2026</w:t>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107*</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w:anchor="d164038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Novi, State of Michigan, on June 2,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GENTHERM INCORPORATED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4082" w:type="dxa"/>
            <w:gridSpan w:val="3"/>
            <w:tcBorders/>
          </w:tcPr>
          <w:p>
            <w:pPr>
              <w:pStyle w:val="TableContents"/>
              <w:bidi w:val="0"/>
              <w:spacing w:before="0" w:after="283"/>
              <w:jc w:val="left"/>
              <w:rPr/>
            </w:pPr>
            <w:r>
              <w:rPr/>
              <w:t>William Presley</w:t>
            </w:r>
          </w:p>
        </w:tc>
      </w:tr>
      <w:tr>
        <w:trPr/>
        <w:tc>
          <w:tcPr>
            <w:tcW w:w="4082" w:type="dxa"/>
            <w:gridSpan w:val="3"/>
            <w:tcBorders/>
          </w:tcPr>
          <w:p>
            <w:pPr>
              <w:pStyle w:val="TableContents"/>
              <w:bidi w:val="0"/>
              <w:spacing w:before="0" w:after="283"/>
              <w:jc w:val="left"/>
              <w:rPr/>
            </w:pPr>
            <w:r>
              <w:rPr/>
              <w:t>President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William Presley, Jonathan Douyard and Wayne Kauffman as his or her true and lawful attorneys-in-fact and agents with full power of substitution and resubstitution, for him or her and in his or her name, place and stead, in any and all capacities, to (i) act on, sign and file with the Commission any and all amendments (including post-effective amendments) to this Registration Statement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on Form S-8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03"/>
        <w:gridCol w:w="121"/>
        <w:gridCol w:w="4404"/>
        <w:gridCol w:w="107"/>
        <w:gridCol w:w="1670"/>
      </w:tblGrid>
      <w:tr>
        <w:trPr/>
        <w:tc>
          <w:tcPr>
            <w:tcW w:w="39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0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3903" w:type="dxa"/>
            <w:tcBorders/>
            <w:vAlign w:val="bottom"/>
          </w:tcPr>
          <w:p>
            <w:pPr>
              <w:pStyle w:val="TableContents"/>
              <w:bidi w:val="0"/>
              <w:spacing w:before="0" w:after="283"/>
              <w:jc w:val="left"/>
              <w:rPr/>
            </w:pPr>
            <w:r>
              <w:rPr/>
              <w:t>SIGNATURE</w:t>
            </w:r>
          </w:p>
        </w:tc>
        <w:tc>
          <w:tcPr>
            <w:tcW w:w="121" w:type="dxa"/>
            <w:tcBorders/>
            <w:vAlign w:val="bottom"/>
          </w:tcPr>
          <w:p>
            <w:pPr>
              <w:pStyle w:val="TableContents"/>
              <w:bidi w:val="0"/>
              <w:spacing w:before="0" w:after="283"/>
              <w:jc w:val="left"/>
              <w:rPr/>
            </w:pPr>
            <w:r>
              <w:rPr/>
              <w:t>  </w:t>
            </w:r>
          </w:p>
        </w:tc>
        <w:tc>
          <w:tcPr>
            <w:tcW w:w="4404" w:type="dxa"/>
            <w:tcBorders/>
            <w:vAlign w:val="bottom"/>
          </w:tcPr>
          <w:p>
            <w:pPr>
              <w:pStyle w:val="TableContents"/>
              <w:bidi w:val="0"/>
              <w:spacing w:before="0" w:after="283"/>
              <w:jc w:val="center"/>
              <w:rPr/>
            </w:pPr>
            <w:r>
              <w:rPr/>
              <w:t>TITLE</w:t>
            </w:r>
          </w:p>
        </w:tc>
        <w:tc>
          <w:tcPr>
            <w:tcW w:w="107"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left"/>
              <w:rPr/>
            </w:pPr>
            <w:r>
              <w:rPr/>
              <w:t>DATE</w:t>
            </w:r>
          </w:p>
        </w:tc>
      </w:tr>
      <w:tr>
        <w:trPr>
          <w:trHeight w:val="120" w:hRule="atLeast"/>
        </w:trPr>
        <w:tc>
          <w:tcPr>
            <w:tcW w:w="3903"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Director, President</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June 2, 2026</w:t>
            </w:r>
          </w:p>
        </w:tc>
      </w:tr>
      <w:tr>
        <w:trPr/>
        <w:tc>
          <w:tcPr>
            <w:tcW w:w="3903" w:type="dxa"/>
            <w:tcBorders/>
          </w:tcPr>
          <w:p>
            <w:pPr>
              <w:pStyle w:val="TableContents"/>
              <w:bidi w:val="0"/>
              <w:spacing w:before="0" w:after="283"/>
              <w:jc w:val="left"/>
              <w:rPr/>
            </w:pPr>
            <w:r>
              <w:rPr/>
              <w:t>William Presley</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0"/>
              <w:jc w:val="center"/>
              <w:rPr>
                <w:rFonts w:ascii="Times New Roman" w:hAnsi="Times New Roman"/>
                <w:sz w:val="20"/>
              </w:rPr>
            </w:pPr>
            <w:r>
              <w:rPr>
                <w:rFonts w:ascii="Times New Roman" w:hAnsi="Times New Roman"/>
                <w:sz w:val="20"/>
              </w:rPr>
              <w:t>and Chief Executive Officer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sz w:val="4"/>
                <w:szCs w:val="4"/>
              </w:rPr>
            </w:pPr>
            <w:r>
              <w:rPr>
                <w:sz w:val="4"/>
                <w:szCs w:val="4"/>
              </w:rPr>
            </w:r>
          </w:p>
        </w:tc>
      </w:tr>
      <w:tr>
        <w:trPr>
          <w:trHeight w:val="240" w:hRule="atLeast"/>
        </w:trPr>
        <w:tc>
          <w:tcPr>
            <w:tcW w:w="3903"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DOUYARD</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Executive Vice President, Chief Financial Officer and Treasurer</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June 2, 2026</w:t>
            </w:r>
          </w:p>
        </w:tc>
      </w:tr>
      <w:tr>
        <w:trPr/>
        <w:tc>
          <w:tcPr>
            <w:tcW w:w="3903" w:type="dxa"/>
            <w:tcBorders/>
          </w:tcPr>
          <w:p>
            <w:pPr>
              <w:pStyle w:val="TableContents"/>
              <w:bidi w:val="0"/>
              <w:spacing w:before="0" w:after="283"/>
              <w:jc w:val="left"/>
              <w:rPr/>
            </w:pPr>
            <w:r>
              <w:rPr/>
              <w:t>Jonathan Douyard</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(Principal Financial Officer)</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sz w:val="4"/>
                <w:szCs w:val="4"/>
              </w:rPr>
            </w:pPr>
            <w:r>
              <w:rPr>
                <w:sz w:val="4"/>
                <w:szCs w:val="4"/>
              </w:rPr>
            </w:r>
          </w:p>
        </w:tc>
      </w:tr>
      <w:tr>
        <w:trPr>
          <w:trHeight w:val="240" w:hRule="atLeast"/>
        </w:trPr>
        <w:tc>
          <w:tcPr>
            <w:tcW w:w="3903"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BREISACHER</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Chief Accounting Officer</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June 2, 2026</w:t>
            </w:r>
          </w:p>
        </w:tc>
      </w:tr>
      <w:tr>
        <w:trPr/>
        <w:tc>
          <w:tcPr>
            <w:tcW w:w="3903" w:type="dxa"/>
            <w:tcBorders/>
          </w:tcPr>
          <w:p>
            <w:pPr>
              <w:pStyle w:val="TableContents"/>
              <w:bidi w:val="0"/>
              <w:spacing w:before="0" w:after="283"/>
              <w:jc w:val="left"/>
              <w:rPr/>
            </w:pPr>
            <w:r>
              <w:rPr/>
              <w:t>Nicholas Breisacher</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(Principal Accounting Officer)</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sz w:val="4"/>
                <w:szCs w:val="4"/>
              </w:rPr>
            </w:pPr>
            <w:r>
              <w:rPr>
                <w:sz w:val="4"/>
                <w:szCs w:val="4"/>
              </w:rPr>
            </w:r>
          </w:p>
        </w:tc>
      </w:tr>
      <w:tr>
        <w:trPr>
          <w:trHeight w:val="240" w:hRule="atLeast"/>
        </w:trPr>
        <w:tc>
          <w:tcPr>
            <w:tcW w:w="3903"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HUNDZINSKI</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Director, Chairman of the Board</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June 2, 2026</w:t>
            </w:r>
          </w:p>
        </w:tc>
      </w:tr>
      <w:tr>
        <w:trPr/>
        <w:tc>
          <w:tcPr>
            <w:tcW w:w="3903" w:type="dxa"/>
            <w:tcBorders/>
          </w:tcPr>
          <w:p>
            <w:pPr>
              <w:pStyle w:val="TableContents"/>
              <w:bidi w:val="0"/>
              <w:spacing w:before="0" w:after="283"/>
              <w:jc w:val="left"/>
              <w:rPr/>
            </w:pPr>
            <w:r>
              <w:rPr/>
              <w:t>Ronald Hundzinski</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sz w:val="4"/>
                <w:szCs w:val="4"/>
              </w:rPr>
            </w:pPr>
            <w:r>
              <w:rPr>
                <w:sz w:val="4"/>
                <w:szCs w:val="4"/>
              </w:rPr>
            </w:r>
          </w:p>
        </w:tc>
      </w:tr>
      <w:tr>
        <w:trPr>
          <w:trHeight w:val="240" w:hRule="atLeast"/>
        </w:trPr>
        <w:tc>
          <w:tcPr>
            <w:tcW w:w="3903"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SOPHIE DESORMIÈRE</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June 2, 2026</w:t>
            </w:r>
          </w:p>
        </w:tc>
      </w:tr>
      <w:tr>
        <w:trPr/>
        <w:tc>
          <w:tcPr>
            <w:tcW w:w="3903" w:type="dxa"/>
            <w:tcBorders/>
          </w:tcPr>
          <w:p>
            <w:pPr>
              <w:pStyle w:val="TableContents"/>
              <w:bidi w:val="0"/>
              <w:spacing w:before="0" w:after="283"/>
              <w:jc w:val="left"/>
              <w:rPr/>
            </w:pPr>
            <w:r>
              <w:rPr/>
              <w:t>Sophie Desormière</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sz w:val="4"/>
                <w:szCs w:val="4"/>
              </w:rPr>
            </w:pPr>
            <w:r>
              <w:rPr>
                <w:sz w:val="4"/>
                <w:szCs w:val="4"/>
              </w:rPr>
            </w:r>
          </w:p>
        </w:tc>
      </w:tr>
      <w:tr>
        <w:trPr>
          <w:trHeight w:val="240" w:hRule="atLeast"/>
        </w:trPr>
        <w:tc>
          <w:tcPr>
            <w:tcW w:w="3903"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HEINZMANN</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June 2, 2026</w:t>
            </w:r>
          </w:p>
        </w:tc>
      </w:tr>
      <w:tr>
        <w:trPr/>
        <w:tc>
          <w:tcPr>
            <w:tcW w:w="3903" w:type="dxa"/>
            <w:tcBorders/>
          </w:tcPr>
          <w:p>
            <w:pPr>
              <w:pStyle w:val="TableContents"/>
              <w:bidi w:val="0"/>
              <w:spacing w:before="0" w:after="283"/>
              <w:jc w:val="left"/>
              <w:rPr/>
            </w:pPr>
            <w:r>
              <w:rPr/>
              <w:t>David Heinzmann</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sz w:val="4"/>
                <w:szCs w:val="4"/>
              </w:rPr>
            </w:pPr>
            <w:r>
              <w:rPr>
                <w:sz w:val="4"/>
                <w:szCs w:val="4"/>
              </w:rPr>
            </w:r>
          </w:p>
        </w:tc>
      </w:tr>
      <w:tr>
        <w:trPr>
          <w:trHeight w:val="240" w:hRule="atLeast"/>
        </w:trPr>
        <w:tc>
          <w:tcPr>
            <w:tcW w:w="3903"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LAURA KOWALCHIK</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June 2, 2026</w:t>
            </w:r>
          </w:p>
        </w:tc>
      </w:tr>
      <w:tr>
        <w:trPr/>
        <w:tc>
          <w:tcPr>
            <w:tcW w:w="3903" w:type="dxa"/>
            <w:tcBorders/>
          </w:tcPr>
          <w:p>
            <w:pPr>
              <w:pStyle w:val="TableContents"/>
              <w:bidi w:val="0"/>
              <w:spacing w:before="0" w:after="283"/>
              <w:jc w:val="left"/>
              <w:rPr/>
            </w:pPr>
            <w:r>
              <w:rPr/>
              <w:t>Laura Kowalchik</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sz w:val="4"/>
                <w:szCs w:val="4"/>
              </w:rPr>
            </w:pPr>
            <w:r>
              <w:rPr>
                <w:sz w:val="4"/>
                <w:szCs w:val="4"/>
              </w:rPr>
            </w:r>
          </w:p>
        </w:tc>
      </w:tr>
      <w:tr>
        <w:trPr>
          <w:trHeight w:val="240" w:hRule="atLeast"/>
        </w:trPr>
        <w:tc>
          <w:tcPr>
            <w:tcW w:w="3903"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CHARLES KUMMETH</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June 2, 2026</w:t>
            </w:r>
          </w:p>
        </w:tc>
      </w:tr>
      <w:tr>
        <w:trPr/>
        <w:tc>
          <w:tcPr>
            <w:tcW w:w="3903" w:type="dxa"/>
            <w:tcBorders/>
          </w:tcPr>
          <w:p>
            <w:pPr>
              <w:pStyle w:val="TableContents"/>
              <w:bidi w:val="0"/>
              <w:spacing w:before="0" w:after="283"/>
              <w:jc w:val="left"/>
              <w:rPr/>
            </w:pPr>
            <w:r>
              <w:rPr/>
              <w:t>Charles Kummeth</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sz w:val="4"/>
                <w:szCs w:val="4"/>
              </w:rPr>
            </w:pPr>
            <w:r>
              <w:rPr>
                <w:sz w:val="4"/>
                <w:szCs w:val="4"/>
              </w:rPr>
            </w:r>
          </w:p>
        </w:tc>
      </w:tr>
      <w:tr>
        <w:trPr>
          <w:trHeight w:val="240" w:hRule="atLeast"/>
        </w:trPr>
        <w:tc>
          <w:tcPr>
            <w:tcW w:w="3903"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r>
      <w:tr>
        <w:trPr/>
        <w:tc>
          <w:tcPr>
            <w:tcW w:w="39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BETSY METER</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June 2, 2026</w:t>
            </w:r>
          </w:p>
        </w:tc>
      </w:tr>
      <w:tr>
        <w:trPr/>
        <w:tc>
          <w:tcPr>
            <w:tcW w:w="3903" w:type="dxa"/>
            <w:tcBorders/>
          </w:tcPr>
          <w:p>
            <w:pPr>
              <w:pStyle w:val="TableContents"/>
              <w:bidi w:val="0"/>
              <w:spacing w:before="0" w:after="283"/>
              <w:jc w:val="left"/>
              <w:rPr/>
            </w:pPr>
            <w:r>
              <w:rPr/>
              <w:t>Betsy Meter</w:t>
            </w:r>
          </w:p>
        </w:tc>
        <w:tc>
          <w:tcPr>
            <w:tcW w:w="121" w:type="dxa"/>
            <w:tcBorders/>
            <w:vAlign w:val="bottom"/>
          </w:tcPr>
          <w:p>
            <w:pPr>
              <w:pStyle w:val="TableContents"/>
              <w:bidi w:val="0"/>
              <w:spacing w:before="0" w:after="283"/>
              <w:jc w:val="left"/>
              <w:rPr/>
            </w:pPr>
            <w:r>
              <w:rPr/>
              <w:t>  </w:t>
            </w:r>
          </w:p>
        </w:tc>
        <w:tc>
          <w:tcPr>
            <w:tcW w:w="440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915"/>
        <w:gridCol w:w="122"/>
        <w:gridCol w:w="4374"/>
        <w:gridCol w:w="108"/>
        <w:gridCol w:w="1686"/>
      </w:tblGrid>
      <w:tr>
        <w:trPr/>
        <w:tc>
          <w:tcPr>
            <w:tcW w:w="39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7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915" w:type="dxa"/>
            <w:tcBorders/>
            <w:vAlign w:val="center"/>
          </w:tcPr>
          <w:p>
            <w:pPr>
              <w:pStyle w:val="TableContents"/>
              <w:bidi w:val="0"/>
              <w:spacing w:before="0" w:after="283"/>
              <w:jc w:val="left"/>
              <w:rPr>
                <w:sz w:val="4"/>
                <w:szCs w:val="4"/>
              </w:rPr>
            </w:pPr>
            <w:r>
              <w:rPr>
                <w:sz w:val="4"/>
                <w:szCs w:val="4"/>
              </w:rPr>
            </w:r>
          </w:p>
        </w:tc>
        <w:tc>
          <w:tcPr>
            <w:tcW w:w="4496" w:type="dxa"/>
            <w:gridSpan w:val="2"/>
            <w:tcBorders/>
            <w:vAlign w:val="center"/>
          </w:tcPr>
          <w:p>
            <w:pPr>
              <w:pStyle w:val="TableContents"/>
              <w:bidi w:val="0"/>
              <w:spacing w:before="0" w:after="283"/>
              <w:jc w:val="left"/>
              <w:rPr>
                <w:sz w:val="4"/>
                <w:szCs w:val="4"/>
              </w:rPr>
            </w:pPr>
            <w:r>
              <w:rPr>
                <w:sz w:val="4"/>
                <w:szCs w:val="4"/>
              </w:rPr>
            </w:r>
          </w:p>
        </w:tc>
        <w:tc>
          <w:tcPr>
            <w:tcW w:w="1794" w:type="dxa"/>
            <w:gridSpan w:val="2"/>
            <w:tcBorders/>
            <w:vAlign w:val="center"/>
          </w:tcPr>
          <w:p>
            <w:pPr>
              <w:pStyle w:val="TableContents"/>
              <w:bidi w:val="0"/>
              <w:spacing w:before="0" w:after="283"/>
              <w:jc w:val="left"/>
              <w:rPr>
                <w:sz w:val="4"/>
                <w:szCs w:val="4"/>
              </w:rPr>
            </w:pPr>
            <w:r>
              <w:rPr>
                <w:sz w:val="4"/>
                <w:szCs w:val="4"/>
              </w:rPr>
            </w:r>
          </w:p>
        </w:tc>
      </w:tr>
      <w:tr>
        <w:trPr/>
        <w:tc>
          <w:tcPr>
            <w:tcW w:w="391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STACEY</w:t>
            </w:r>
          </w:p>
        </w:tc>
        <w:tc>
          <w:tcPr>
            <w:tcW w:w="122"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686" w:type="dxa"/>
            <w:tcBorders/>
          </w:tcPr>
          <w:p>
            <w:pPr>
              <w:pStyle w:val="TableContents"/>
              <w:bidi w:val="0"/>
              <w:spacing w:before="0" w:after="283"/>
              <w:jc w:val="left"/>
              <w:rPr/>
            </w:pPr>
            <w:r>
              <w:rPr/>
              <w:t>June 2, 2026</w:t>
            </w:r>
          </w:p>
        </w:tc>
      </w:tr>
      <w:tr>
        <w:trPr/>
        <w:tc>
          <w:tcPr>
            <w:tcW w:w="3915" w:type="dxa"/>
            <w:tcBorders/>
          </w:tcPr>
          <w:p>
            <w:pPr>
              <w:pStyle w:val="TableContents"/>
              <w:bidi w:val="0"/>
              <w:spacing w:before="0" w:after="283"/>
              <w:jc w:val="left"/>
              <w:rPr/>
            </w:pPr>
            <w:r>
              <w:rPr/>
              <w:t>John Stacey</w:t>
            </w:r>
          </w:p>
        </w:tc>
        <w:tc>
          <w:tcPr>
            <w:tcW w:w="122"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686" w:type="dxa"/>
            <w:tcBorders/>
          </w:tcPr>
          <w:p>
            <w:pPr>
              <w:pStyle w:val="TableContents"/>
              <w:bidi w:val="0"/>
              <w:spacing w:before="0" w:after="283"/>
              <w:jc w:val="left"/>
              <w:rPr>
                <w:sz w:val="4"/>
                <w:szCs w:val="4"/>
              </w:rPr>
            </w:pPr>
            <w:r>
              <w:rPr>
                <w:sz w:val="4"/>
                <w:szCs w:val="4"/>
              </w:rPr>
            </w:r>
          </w:p>
        </w:tc>
      </w:tr>
      <w:tr>
        <w:trPr>
          <w:trHeight w:val="240" w:hRule="atLeast"/>
        </w:trPr>
        <w:tc>
          <w:tcPr>
            <w:tcW w:w="3915" w:type="dxa"/>
            <w:tcBorders/>
            <w:vAlign w:val="center"/>
          </w:tcPr>
          <w:p>
            <w:pPr>
              <w:pStyle w:val="TableContents"/>
              <w:bidi w:val="0"/>
              <w:spacing w:before="0" w:after="283"/>
              <w:jc w:val="left"/>
              <w:rPr>
                <w:sz w:val="4"/>
                <w:szCs w:val="4"/>
              </w:rPr>
            </w:pPr>
            <w:r>
              <w:rPr>
                <w:sz w:val="4"/>
                <w:szCs w:val="4"/>
              </w:rPr>
            </w:r>
          </w:p>
        </w:tc>
        <w:tc>
          <w:tcPr>
            <w:tcW w:w="4496" w:type="dxa"/>
            <w:gridSpan w:val="2"/>
            <w:tcBorders/>
            <w:vAlign w:val="center"/>
          </w:tcPr>
          <w:p>
            <w:pPr>
              <w:pStyle w:val="TableContents"/>
              <w:bidi w:val="0"/>
              <w:spacing w:before="0" w:after="283"/>
              <w:jc w:val="left"/>
              <w:rPr>
                <w:sz w:val="4"/>
                <w:szCs w:val="4"/>
              </w:rPr>
            </w:pPr>
            <w:r>
              <w:rPr>
                <w:sz w:val="4"/>
                <w:szCs w:val="4"/>
              </w:rPr>
            </w:r>
          </w:p>
        </w:tc>
        <w:tc>
          <w:tcPr>
            <w:tcW w:w="1794" w:type="dxa"/>
            <w:gridSpan w:val="2"/>
            <w:tcBorders/>
            <w:vAlign w:val="center"/>
          </w:tcPr>
          <w:p>
            <w:pPr>
              <w:pStyle w:val="TableContents"/>
              <w:bidi w:val="0"/>
              <w:spacing w:before="0" w:after="283"/>
              <w:jc w:val="left"/>
              <w:rPr>
                <w:sz w:val="4"/>
                <w:szCs w:val="4"/>
              </w:rPr>
            </w:pPr>
            <w:r>
              <w:rPr>
                <w:sz w:val="4"/>
                <w:szCs w:val="4"/>
              </w:rPr>
            </w:r>
          </w:p>
        </w:tc>
      </w:tr>
      <w:tr>
        <w:trPr/>
        <w:tc>
          <w:tcPr>
            <w:tcW w:w="391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WASHINGTON</w:t>
            </w:r>
          </w:p>
        </w:tc>
        <w:tc>
          <w:tcPr>
            <w:tcW w:w="122"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686" w:type="dxa"/>
            <w:tcBorders/>
          </w:tcPr>
          <w:p>
            <w:pPr>
              <w:pStyle w:val="TableContents"/>
              <w:bidi w:val="0"/>
              <w:spacing w:before="0" w:after="283"/>
              <w:jc w:val="left"/>
              <w:rPr/>
            </w:pPr>
            <w:r>
              <w:rPr/>
              <w:t>June 2, 2026</w:t>
            </w:r>
          </w:p>
        </w:tc>
      </w:tr>
      <w:tr>
        <w:trPr/>
        <w:tc>
          <w:tcPr>
            <w:tcW w:w="3915" w:type="dxa"/>
            <w:tcBorders/>
          </w:tcPr>
          <w:p>
            <w:pPr>
              <w:pStyle w:val="TableContents"/>
              <w:bidi w:val="0"/>
              <w:spacing w:before="0" w:after="283"/>
              <w:jc w:val="left"/>
              <w:rPr/>
            </w:pPr>
            <w:r>
              <w:rPr/>
              <w:t>Kenneth Washington</w:t>
            </w:r>
          </w:p>
        </w:tc>
        <w:tc>
          <w:tcPr>
            <w:tcW w:w="122"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68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S-8 REGISTRATION STATEMENT] </w:t>
      </w:r>
    </w:p>
    <w:p>
      <w:pPr>
        <w:pStyle w:val="TextBody"/>
        <w:bidi w:val="0"/>
        <w:spacing w:before="0" w:after="0"/>
        <w:jc w:val="right"/>
        <w:rPr>
          <w:rFonts w:ascii="Times New Roman" w:hAnsi="Times New Roman"/>
          <w:b/>
          <w:sz w:val="20"/>
        </w:rPr>
      </w:pPr>
      <w:bookmarkStart w:id="3" w:name="d164038dex5.htm"/>
      <w:bookmarkStart w:id="4" w:name="ksd164038dex5"/>
      <w:bookmarkEnd w:id="3"/>
      <w:bookmarkEnd w:id="4"/>
      <w:r>
        <w:rPr>
          <w:rFonts w:ascii="Times New Roman" w:hAnsi="Times New Roman"/>
          <w:b/>
          <w:sz w:val="20"/>
        </w:rPr>
        <w:t xml:space="preserve">Exhibit 5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4307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1743075" cy="33337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June 2, 2026 </w:t>
      </w:r>
    </w:p>
    <w:p>
      <w:pPr>
        <w:pStyle w:val="TextBody"/>
        <w:bidi w:val="0"/>
        <w:spacing w:before="24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RE:</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Registration Statement on Form S-8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Gentherm Incorporated, a Michigan corporation (the “</w:t>
      </w:r>
      <w:r>
        <w:rPr>
          <w:rFonts w:ascii="Times New Roman" w:hAnsi="Times New Roman"/>
          <w:sz w:val="20"/>
          <w:u w:val="single"/>
        </w:rPr>
        <w:t>Company</w:t>
      </w:r>
      <w:r>
        <w:rPr>
          <w:rFonts w:ascii="Times New Roman" w:hAnsi="Times New Roman"/>
          <w:sz w:val="20"/>
        </w:rPr>
        <w:t>”), in connection with the preparation and filing with the Securities and Exchange Commission (the “</w:t>
      </w:r>
      <w:r>
        <w:rPr>
          <w:rFonts w:ascii="Times New Roman" w:hAnsi="Times New Roman"/>
          <w:sz w:val="20"/>
          <w:u w:val="single"/>
        </w:rPr>
        <w:t>Commission</w:t>
      </w:r>
      <w:r>
        <w:rPr>
          <w:rFonts w:ascii="Times New Roman" w:hAnsi="Times New Roman"/>
          <w:sz w:val="20"/>
        </w:rPr>
        <w:t>”) of a Registration Statement on Form S-8 (the “</w:t>
      </w:r>
      <w:r>
        <w:rPr>
          <w:rFonts w:ascii="Times New Roman" w:hAnsi="Times New Roman"/>
          <w:sz w:val="20"/>
          <w:u w:val="single"/>
        </w:rPr>
        <w:t>Registration Statement</w:t>
      </w:r>
      <w:r>
        <w:rPr>
          <w:rFonts w:ascii="Times New Roman" w:hAnsi="Times New Roman"/>
          <w:sz w:val="20"/>
        </w:rPr>
        <w:t>”) for the registration under the Securities Act of 1933, as amended (the “</w:t>
      </w:r>
      <w:r>
        <w:rPr>
          <w:rFonts w:ascii="Times New Roman" w:hAnsi="Times New Roman"/>
          <w:sz w:val="20"/>
          <w:u w:val="single"/>
        </w:rPr>
        <w:t>Securities Act</w:t>
      </w:r>
      <w:r>
        <w:rPr>
          <w:rFonts w:ascii="Times New Roman" w:hAnsi="Times New Roman"/>
          <w:sz w:val="20"/>
        </w:rPr>
        <w:t>”), of a maximum of 1,700,000 shares (the “</w:t>
      </w:r>
      <w:r>
        <w:rPr>
          <w:rFonts w:ascii="Times New Roman" w:hAnsi="Times New Roman"/>
          <w:sz w:val="20"/>
          <w:u w:val="single"/>
        </w:rPr>
        <w:t>Shares</w:t>
      </w:r>
      <w:r>
        <w:rPr>
          <w:rFonts w:ascii="Times New Roman" w:hAnsi="Times New Roman"/>
          <w:sz w:val="20"/>
        </w:rPr>
        <w:t>”) of the Company’s common stock, no par value (the “</w:t>
      </w:r>
      <w:r>
        <w:rPr>
          <w:rFonts w:ascii="Times New Roman" w:hAnsi="Times New Roman"/>
          <w:sz w:val="20"/>
          <w:u w:val="single"/>
        </w:rPr>
        <w:t>Common Stock</w:t>
      </w:r>
      <w:r>
        <w:rPr>
          <w:rFonts w:ascii="Times New Roman" w:hAnsi="Times New Roman"/>
          <w:sz w:val="20"/>
        </w:rPr>
        <w:t>”), to be issued by the Company pursuant to awards under the Gentherm Incorporated 2023 Equity Incentive Plan (as amended from time to time, the “</w:t>
      </w:r>
      <w:r>
        <w:rPr>
          <w:rFonts w:ascii="Times New Roman" w:hAnsi="Times New Roman"/>
          <w:sz w:val="20"/>
          <w:u w:val="single"/>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do not express any opinion herein concerning any law other than the Michigan Business Corporation Act.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assumed the genuineness of all signatures on all documents examined by us, the due authority of the parties signing such documents, the authenticity of all documents submitted to us as originals, the conformity to authentic originals of all documents submitted to us as copies and that the offer and sale of the Shares complies in all respects with the terms, conditions and restrictions set forth in the Registration Statement and the Plan. The Company has represented to us and we have also assumed that the Company has reserved from its duly authorized capital stock a sufficient number of shares of Common Stock, including the Shares, for issuance under the Plan and will keep such reserve available at all times to enable the Company to issue and deliver the Shares upon the settlement of awards under the Plan. We have also assumed without independent investigation that there are no agreements or understandings between or among the Company and any participants in the Plan that would expand, modify or otherwise affect the terms of the Plan or the respective rights or obligations of the participants thereunder. </w:t>
      </w:r>
    </w:p>
    <w:p>
      <w:pPr>
        <w:pStyle w:val="TextBody"/>
        <w:bidi w:val="0"/>
        <w:spacing w:before="240" w:after="0"/>
        <w:jc w:val="left"/>
        <w:rPr>
          <w:rFonts w:ascii="Times New Roman" w:hAnsi="Times New Roman"/>
          <w:sz w:val="20"/>
        </w:rPr>
      </w:pPr>
      <w:r>
        <w:rPr>
          <w:rFonts w:ascii="Times New Roman" w:hAnsi="Times New Roman"/>
          <w:sz w:val="20"/>
        </w:rPr>
        <w:t xml:space="preserve">Based upon, subject to and limited by the foregoing, and based upon our examination of such documents and other matters as we deem relevant, we are of the opinion that the Shares to be issued by the Company under the Plan pursuant to the Registration Statement are duly authorized and, when issued and sold by the Company in accordance with the Plan and the awards thereunder, the Registration Statement and the related prospectus,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speaks only as of its date. We do not undertake any obligation to advise you or any other party of changes of law or fact that occur after the date of this opinion letter – even though the change may affect the legal analysis or legal conclusion in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as Exhibit 5 to the Registration Statement. In giving such consent, we do not admit that we are within the category of persons whose consent is required by Section 7 of the Securities Act or the rules and regulations promulgated thereunder by the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b/>
                <w:sz w:val="20"/>
              </w:rPr>
              <w:t>HONIGMAN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c: MKB/GDP/SEME/JPK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tcBorders>
            <w:tcMar>
              <w:top w:w="28" w:type="dxa"/>
            </w:tcMar>
          </w:tcPr>
          <w:p>
            <w:pPr>
              <w:pStyle w:val="TableContents"/>
              <w:bidi w:val="0"/>
              <w:spacing w:before="0" w:after="283"/>
              <w:jc w:val="center"/>
              <w:rPr>
                <w:b/>
              </w:rPr>
            </w:pPr>
            <w:r>
              <w:rPr>
                <w:b/>
              </w:rPr>
              <w:t>Honigman LLP  2290 First National Building  660 Woodward Avenue  Detroit, Michigan 48226-3506</w:t>
            </w:r>
          </w:p>
        </w:tc>
      </w:tr>
    </w:tbl>
    <w:p>
      <w:pPr>
        <w:pStyle w:val="TextBody"/>
        <w:bidi w:val="0"/>
        <w:spacing w:before="0" w:after="0"/>
        <w:jc w:val="right"/>
        <w:rPr>
          <w:rFonts w:ascii="Times New Roman" w:hAnsi="Times New Roman"/>
          <w:b/>
          <w:sz w:val="20"/>
        </w:rPr>
      </w:pPr>
      <w:bookmarkStart w:id="5" w:name="d164038dex231.htm"/>
      <w:bookmarkStart w:id="6" w:name="ksd164038dex231"/>
      <w:bookmarkEnd w:id="5"/>
      <w:bookmarkEnd w:id="6"/>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Gentherm Incorporated 2023 Equity Incentive Plan of Gentherm Incorporated of our reports dated February 19, 2026, with respect to the consolidated financial statements of Gentherm Incorporated and the effectiveness of internal control over financial reporting of Gentherm Incorporated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Detroit, Michigan </w:t>
      </w:r>
    </w:p>
    <w:p>
      <w:pPr>
        <w:pStyle w:val="TextBody"/>
        <w:bidi w:val="0"/>
        <w:spacing w:before="240" w:after="0"/>
        <w:jc w:val="left"/>
        <w:rPr>
          <w:rFonts w:ascii="Times New Roman" w:hAnsi="Times New Roman"/>
          <w:sz w:val="20"/>
        </w:rPr>
      </w:pPr>
      <w:r>
        <w:rPr>
          <w:rFonts w:ascii="Times New Roman" w:hAnsi="Times New Roman"/>
          <w:sz w:val="20"/>
        </w:rPr>
        <w:t xml:space="preserve">June 2, 2026 </w:t>
      </w:r>
    </w:p>
    <w:p>
      <w:pPr>
        <w:pStyle w:val="Normal"/>
        <w:bidi w:val="0"/>
        <w:spacing w:before="0" w:after="0"/>
        <w:jc w:val="left"/>
        <w:rPr>
          <w:sz w:val="4"/>
          <w:szCs w:val="4"/>
        </w:rPr>
      </w:pPr>
      <w:r>
        <w:rPr>
          <w:sz w:val="4"/>
          <w:szCs w:val="4"/>
        </w:rPr>
      </w:r>
      <w:bookmarkStart w:id="7" w:name="d164038dexfilingfees.htm"/>
      <w:bookmarkStart w:id="8" w:name="ksd164038dexfilingfees"/>
      <w:bookmarkStart w:id="9" w:name="d164038dexfilingfees.htm"/>
      <w:bookmarkStart w:id="10" w:name="ksd164038dexfilingfees"/>
      <w:bookmarkEnd w:id="9"/>
      <w:bookmarkEnd w:id="10"/>
      <w:r>
        <w:br w:type="page"/>
      </w:r>
    </w:p>
    <w:tbl>
      <w:tblPr>
        <w:tblW w:w="3556" w:type="dxa"/>
        <w:jc w:val="left"/>
        <w:tblInd w:w="0" w:type="dxa"/>
        <w:tblLayout w:type="fixed"/>
        <w:tblCellMar>
          <w:top w:w="28" w:type="dxa"/>
          <w:left w:w="28" w:type="dxa"/>
          <w:bottom w:w="28" w:type="dxa"/>
          <w:right w:w="28" w:type="dxa"/>
        </w:tblCellMar>
      </w:tblPr>
      <w:tblGrid>
        <w:gridCol w:w="3402"/>
        <w:gridCol w:w="154"/>
      </w:tblGrid>
      <w:tr>
        <w:trPr/>
        <w:tc>
          <w:tcPr>
            <w:tcW w:w="355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2" w:type="dxa"/>
            <w:tcBorders/>
            <w:vAlign w:val="center"/>
          </w:tcPr>
          <w:p>
            <w:pPr>
              <w:pStyle w:val="TableContents"/>
              <w:bidi w:val="0"/>
              <w:spacing w:before="0" w:after="283"/>
              <w:jc w:val="left"/>
              <w:rPr>
                <w:b/>
              </w:rPr>
            </w:pPr>
            <w:r>
              <w:rPr>
                <w:b/>
              </w:rPr>
              <w:t xml:space="preserve">Gentherm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3"/>
        <w:gridCol w:w="1094"/>
        <w:gridCol w:w="1287"/>
        <w:gridCol w:w="1197"/>
        <w:gridCol w:w="1197"/>
        <w:gridCol w:w="1691"/>
        <w:gridCol w:w="1126"/>
        <w:gridCol w:w="141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3"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9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7"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7"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9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9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3" w:type="dxa"/>
            <w:tcBorders/>
            <w:shd w:fill="E7E7E2" w:val="clear"/>
            <w:vAlign w:val="center"/>
          </w:tcPr>
          <w:p>
            <w:pPr>
              <w:pStyle w:val="TableContents"/>
              <w:bidi w:val="0"/>
              <w:spacing w:before="0" w:after="283"/>
              <w:jc w:val="left"/>
              <w:rPr/>
            </w:pPr>
            <w:r>
              <w:rPr/>
              <w:t xml:space="preserve">Equity </w:t>
            </w:r>
          </w:p>
        </w:tc>
        <w:tc>
          <w:tcPr>
            <w:tcW w:w="1094" w:type="dxa"/>
            <w:tcBorders/>
            <w:shd w:fill="E7E7E2" w:val="clear"/>
            <w:vAlign w:val="center"/>
          </w:tcPr>
          <w:p>
            <w:pPr>
              <w:pStyle w:val="TableContents"/>
              <w:bidi w:val="0"/>
              <w:spacing w:before="0" w:after="283"/>
              <w:jc w:val="left"/>
              <w:rPr/>
            </w:pPr>
            <w:r>
              <w:rPr/>
              <w:t xml:space="preserve">Common Stock, no par value, reserved for issuance under the 2023 Equity Incentive Plan, as amended </w:t>
            </w:r>
          </w:p>
        </w:tc>
        <w:tc>
          <w:tcPr>
            <w:tcW w:w="1287" w:type="dxa"/>
            <w:tcBorders/>
            <w:shd w:fill="E7E7E2" w:val="clear"/>
            <w:vAlign w:val="center"/>
          </w:tcPr>
          <w:p>
            <w:pPr>
              <w:pStyle w:val="TableContents"/>
              <w:bidi w:val="0"/>
              <w:spacing w:before="0" w:after="283"/>
              <w:jc w:val="center"/>
              <w:rPr/>
            </w:pPr>
            <w:r>
              <w:rPr/>
              <w:t xml:space="preserve">Other </w:t>
            </w:r>
          </w:p>
        </w:tc>
        <w:tc>
          <w:tcPr>
            <w:tcW w:w="1197" w:type="dxa"/>
            <w:tcBorders/>
            <w:shd w:fill="E7E7E2" w:val="clear"/>
            <w:vAlign w:val="center"/>
          </w:tcPr>
          <w:p>
            <w:pPr>
              <w:pStyle w:val="TableContents"/>
              <w:bidi w:val="0"/>
              <w:spacing w:before="0" w:after="283"/>
              <w:jc w:val="right"/>
              <w:rPr/>
            </w:pPr>
            <w:r>
              <w:rPr/>
              <w:t xml:space="preserve">1,700,000 </w:t>
            </w:r>
          </w:p>
        </w:tc>
        <w:tc>
          <w:tcPr>
            <w:tcW w:w="1197" w:type="dxa"/>
            <w:tcBorders/>
            <w:shd w:fill="E7E7E2" w:val="clear"/>
            <w:vAlign w:val="center"/>
          </w:tcPr>
          <w:p>
            <w:pPr>
              <w:pStyle w:val="TableContents"/>
              <w:bidi w:val="0"/>
              <w:spacing w:before="0" w:after="283"/>
              <w:jc w:val="right"/>
              <w:rPr/>
            </w:pPr>
            <w:r>
              <w:rPr/>
              <w:t xml:space="preserve">$ 34.665 </w:t>
            </w:r>
          </w:p>
        </w:tc>
        <w:tc>
          <w:tcPr>
            <w:tcW w:w="1691" w:type="dxa"/>
            <w:tcBorders/>
            <w:shd w:fill="E7E7E2" w:val="clear"/>
            <w:vAlign w:val="center"/>
          </w:tcPr>
          <w:p>
            <w:pPr>
              <w:pStyle w:val="TableContents"/>
              <w:bidi w:val="0"/>
              <w:spacing w:before="0" w:after="283"/>
              <w:jc w:val="right"/>
              <w:rPr/>
            </w:pPr>
            <w:r>
              <w:rPr/>
              <w:t xml:space="preserve">$ 58,930,500.00 </w:t>
            </w:r>
          </w:p>
        </w:tc>
        <w:tc>
          <w:tcPr>
            <w:tcW w:w="1126" w:type="dxa"/>
            <w:tcBorders/>
            <w:shd w:fill="E7E7E2" w:val="clear"/>
            <w:vAlign w:val="center"/>
          </w:tcPr>
          <w:p>
            <w:pPr>
              <w:pStyle w:val="TableContents"/>
              <w:bidi w:val="0"/>
              <w:spacing w:before="0" w:after="283"/>
              <w:jc w:val="right"/>
              <w:rPr/>
            </w:pPr>
            <w:r>
              <w:rPr/>
              <w:t xml:space="preserve">0.0001381 </w:t>
            </w:r>
          </w:p>
        </w:tc>
        <w:tc>
          <w:tcPr>
            <w:tcW w:w="1419" w:type="dxa"/>
            <w:tcBorders/>
            <w:shd w:fill="E7E7E2" w:val="clear"/>
            <w:vAlign w:val="center"/>
          </w:tcPr>
          <w:p>
            <w:pPr>
              <w:pStyle w:val="TableContents"/>
              <w:bidi w:val="0"/>
              <w:spacing w:before="0" w:after="283"/>
              <w:jc w:val="right"/>
              <w:rPr/>
            </w:pPr>
            <w:r>
              <w:rPr/>
              <w:t xml:space="preserve">$ 8,138.30 </w:t>
            </w:r>
          </w:p>
        </w:tc>
      </w:tr>
      <w:tr>
        <w:trPr/>
        <w:tc>
          <w:tcPr>
            <w:tcW w:w="4772" w:type="dxa"/>
            <w:gridSpan w:val="5"/>
            <w:tcBorders/>
            <w:vAlign w:val="center"/>
          </w:tcPr>
          <w:p>
            <w:pPr>
              <w:pStyle w:val="TableContents"/>
              <w:bidi w:val="0"/>
              <w:spacing w:before="0" w:after="0"/>
              <w:ind w:left="0" w:right="0" w:hanging="0"/>
              <w:jc w:val="right"/>
              <w:rPr/>
            </w:pPr>
            <w:r>
              <w:rPr/>
              <w:t>Total Offering Amounts:</w:t>
            </w:r>
          </w:p>
        </w:tc>
        <w:tc>
          <w:tcPr>
            <w:tcW w:w="119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0"/>
              <w:ind w:left="0" w:right="0" w:hanging="0"/>
              <w:jc w:val="right"/>
              <w:rPr/>
            </w:pPr>
            <w:bookmarkStart w:id="11" w:name="MaxAggtOfferingPrice"/>
            <w:bookmarkEnd w:id="11"/>
            <w:r>
              <w:rPr/>
              <w:t xml:space="preserve">$ 58,930,500.00 </w:t>
            </w:r>
          </w:p>
        </w:tc>
        <w:tc>
          <w:tcPr>
            <w:tcW w:w="1126" w:type="dxa"/>
            <w:tcBorders/>
            <w:vAlign w:val="center"/>
          </w:tcPr>
          <w:p>
            <w:pPr>
              <w:pStyle w:val="TableContents"/>
              <w:bidi w:val="0"/>
              <w:spacing w:before="0" w:after="283"/>
              <w:jc w:val="left"/>
              <w:rPr>
                <w:sz w:val="4"/>
                <w:szCs w:val="4"/>
              </w:rPr>
            </w:pPr>
            <w:r>
              <w:rPr>
                <w:sz w:val="4"/>
                <w:szCs w:val="4"/>
              </w:rPr>
            </w:r>
          </w:p>
        </w:tc>
        <w:tc>
          <w:tcPr>
            <w:tcW w:w="141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$ 8,138.30 </w:t>
            </w:r>
          </w:p>
        </w:tc>
      </w:tr>
      <w:tr>
        <w:trPr/>
        <w:tc>
          <w:tcPr>
            <w:tcW w:w="4772" w:type="dxa"/>
            <w:gridSpan w:val="5"/>
            <w:tcBorders/>
            <w:vAlign w:val="center"/>
          </w:tcPr>
          <w:p>
            <w:pPr>
              <w:pStyle w:val="TableContents"/>
              <w:bidi w:val="0"/>
              <w:spacing w:before="0" w:after="0"/>
              <w:ind w:left="0" w:right="0" w:hanging="0"/>
              <w:jc w:val="right"/>
              <w:rPr/>
            </w:pPr>
            <w:r>
              <w:rPr/>
              <w:t xml:space="preserve">Total Fee Offsets: </w:t>
            </w:r>
          </w:p>
        </w:tc>
        <w:tc>
          <w:tcPr>
            <w:tcW w:w="119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72" w:type="dxa"/>
            <w:gridSpan w:val="5"/>
            <w:tcBorders/>
            <w:vAlign w:val="center"/>
          </w:tcPr>
          <w:p>
            <w:pPr>
              <w:pStyle w:val="TableContents"/>
              <w:bidi w:val="0"/>
              <w:spacing w:before="0" w:after="0"/>
              <w:ind w:left="0" w:right="0" w:hanging="0"/>
              <w:jc w:val="right"/>
              <w:rPr/>
            </w:pPr>
            <w:r>
              <w:rPr/>
              <w:t xml:space="preserve">Net Fee Due: </w:t>
            </w:r>
          </w:p>
        </w:tc>
        <w:tc>
          <w:tcPr>
            <w:tcW w:w="119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0"/>
              <w:ind w:left="0" w:right="0" w:hanging="0"/>
              <w:jc w:val="right"/>
              <w:rPr/>
            </w:pPr>
            <w:bookmarkStart w:id="14" w:name="NetFeeAmt"/>
            <w:bookmarkEnd w:id="14"/>
            <w:r>
              <w:rPr/>
              <w:t xml:space="preserve">$ 8,138.30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shall also cover any additional shares of the Registrant's common stock that become issuable under the Gentherm Incorporated 2023 Equity Incentive Plan, as amended by reason of any stock dividend, stock split, recapitalization, or other similar transaction effected without receipt of consideration that increases the number of outstanding shares of the Registrant's common stock, as applicable. (2) Estimated solely for the purpose of calculating the amount of the registration fee pursuant to Rule 457(c) and Rule 457(h) under the Securities Act. The offering price per unit and aggregate offering price are based on the average of the high and low prices of the Registrant's common stock as reported on the Nasdaq Global Market on May 28,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0903129/000119312526059602/thrm-20251231.htm" TargetMode="External"/><Relationship Id="rId3" Type="http://schemas.openxmlformats.org/officeDocument/2006/relationships/hyperlink" Target="http://www.sec.gov/Archives/edgar/data/../../../ix?doc=/Archives/edgar/data/0000903129/000114036126012756/ny20062556x1_def14a.htm" TargetMode="External"/><Relationship Id="rId4" Type="http://schemas.openxmlformats.org/officeDocument/2006/relationships/hyperlink" Target="http://www.sec.gov/Archives/edgar/data/../../../ix?doc=/Archives/edgar/data/0000903129/000119312526173920/thrm-20260331.htm" TargetMode="External"/><Relationship Id="rId5" Type="http://schemas.openxmlformats.org/officeDocument/2006/relationships/hyperlink" Target="http://www.sec.gov/Archives/edgar/data/../../../ix?doc=/Archives/edgar/data/0000903129/000119312526029374/d69298d8k.htm" TargetMode="External"/><Relationship Id="rId6" Type="http://schemas.openxmlformats.org/officeDocument/2006/relationships/hyperlink" Target="http://www.sec.gov/Archives/edgar/data/../../../ix?doc=/Archives/edgar/data/0000903129/000119312526082690/d763082d8k.htm" TargetMode="External"/><Relationship Id="rId7" Type="http://schemas.openxmlformats.org/officeDocument/2006/relationships/hyperlink" Target="http://www.sec.gov/Archives/edgar/data/../../../ix?doc=/Archives/edgar/data/0000903129/000119312526173969/d348690d8ka.htm" TargetMode="External"/><Relationship Id="rId8" Type="http://schemas.openxmlformats.org/officeDocument/2006/relationships/hyperlink" Target="http://www.sec.gov/Archives/edgar/data/../../../ix?doc=/Archives/edgar/data/0000903129/000119312526111187/d128390d8k.htm" TargetMode="External"/><Relationship Id="rId9" Type="http://schemas.openxmlformats.org/officeDocument/2006/relationships/hyperlink" Target="http://www.sec.gov/Archives/edgar/data/../../../ix?doc=/Archives/edgar/data/0000903129/000119312526122833/d113292d8k.htm" TargetMode="External"/><Relationship Id="rId10" Type="http://schemas.openxmlformats.org/officeDocument/2006/relationships/hyperlink" Target="http://www.sec.gov/Archives/edgar/data/../../../ix?doc=/Archives/edgar/data/0000903129/000119312526231132/d90313d8k.htm" TargetMode="External"/><Relationship Id="rId11" Type="http://schemas.openxmlformats.org/officeDocument/2006/relationships/hyperlink" Target="http://www.sec.gov/Archives/edgar/data/903129/000156459020005507/thrm-ex4_529.htm" TargetMode="External"/><Relationship Id="rId12" Type="http://schemas.openxmlformats.org/officeDocument/2006/relationships/hyperlink" Target="http://www.sec.gov/Archives/edgar/data/903129/000119312518070672/d544984dex32.htm" TargetMode="External"/><Relationship Id="rId13" Type="http://schemas.openxmlformats.org/officeDocument/2006/relationships/hyperlink" Target="http://www.sec.gov/Archives/edgar/data/903129/000156459016020008/thrm-ex31_6.htm" TargetMode="External"/><Relationship Id="rId14" Type="http://schemas.openxmlformats.org/officeDocument/2006/relationships/hyperlink" Target="http://www.sec.gov/Archives/edgar/data/903129/000119312523148147/d502782dex101.htm" TargetMode="External"/><Relationship Id="rId15" Type="http://schemas.openxmlformats.org/officeDocument/2006/relationships/hyperlink" Target="http://www.sec.gov/Archives/edgar/data/0000903129/000119312526231132/d90313dex101.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2632</Words>
  <Characters>14265</Characters>
  <CharactersWithSpaces>16930</CharactersWithSpaces>
  <Paragraphs>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